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FAE368">
      <w:pPr>
        <w:spacing w:line="360" w:lineRule="auto"/>
        <w:ind w:firstLine="883" w:firstLineChars="200"/>
        <w:jc w:val="center"/>
        <w:rPr>
          <w:rFonts w:hint="eastAsia" w:ascii="方正仿宋_GB2312" w:hAnsi="方正仿宋_GB2312" w:eastAsia="方正仿宋_GB2312" w:cs="方正仿宋_GB2312"/>
          <w:b/>
          <w:color w:val="auto"/>
          <w:sz w:val="44"/>
          <w:szCs w:val="44"/>
          <w:highlight w:val="none"/>
        </w:rPr>
      </w:pPr>
      <w:r>
        <w:rPr>
          <w:rFonts w:hint="eastAsia" w:ascii="方正仿宋_GB2312" w:hAnsi="方正仿宋_GB2312" w:eastAsia="方正仿宋_GB2312" w:cs="方正仿宋_GB2312"/>
          <w:b/>
          <w:color w:val="auto"/>
          <w:sz w:val="44"/>
          <w:szCs w:val="44"/>
          <w:highlight w:val="none"/>
          <w:lang w:eastAsia="zh-CN"/>
        </w:rPr>
        <w:t>灵川县海洋乡大庙塘村委大桐木湾村和美村寨建设项目</w:t>
      </w:r>
      <w:r>
        <w:rPr>
          <w:rFonts w:hint="eastAsia" w:ascii="方正仿宋_GB2312" w:hAnsi="方正仿宋_GB2312" w:eastAsia="方正仿宋_GB2312" w:cs="方正仿宋_GB2312"/>
          <w:b/>
          <w:color w:val="auto"/>
          <w:sz w:val="44"/>
          <w:szCs w:val="44"/>
          <w:highlight w:val="none"/>
        </w:rPr>
        <w:t>施工图设计说明</w:t>
      </w:r>
    </w:p>
    <w:p w14:paraId="2EF2ED11">
      <w:pPr>
        <w:pStyle w:val="58"/>
        <w:ind w:firstLine="0" w:firstLineChars="0"/>
        <w:jc w:val="lef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一、概述</w:t>
      </w:r>
    </w:p>
    <w:p w14:paraId="387D6850">
      <w:pPr>
        <w:pStyle w:val="21"/>
        <w:spacing w:line="600" w:lineRule="exact"/>
        <w:ind w:firstLine="56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color w:val="auto"/>
          <w:sz w:val="28"/>
          <w:szCs w:val="28"/>
          <w:lang w:eastAsia="zh-CN"/>
        </w:rPr>
        <w:t>灵川县海洋乡大庙塘村委大桐木湾村和美村寨建设项目</w:t>
      </w:r>
      <w:r>
        <w:rPr>
          <w:rFonts w:hint="eastAsia" w:ascii="方正仿宋_GB2312" w:hAnsi="方正仿宋_GB2312" w:eastAsia="方正仿宋_GB2312" w:cs="方正仿宋_GB2312"/>
          <w:sz w:val="28"/>
          <w:szCs w:val="28"/>
        </w:rPr>
        <w:t>，本项目位于</w:t>
      </w:r>
      <w:r>
        <w:rPr>
          <w:rFonts w:hint="eastAsia" w:ascii="方正仿宋_GB2312" w:hAnsi="方正仿宋_GB2312" w:eastAsia="方正仿宋_GB2312" w:cs="方正仿宋_GB2312"/>
          <w:color w:val="auto"/>
          <w:sz w:val="28"/>
          <w:szCs w:val="28"/>
          <w:lang w:eastAsia="zh-CN"/>
        </w:rPr>
        <w:t>灵川县海洋乡大桐木湾村</w:t>
      </w:r>
      <w:r>
        <w:rPr>
          <w:rFonts w:hint="eastAsia" w:ascii="方正仿宋_GB2312" w:hAnsi="方正仿宋_GB2312" w:eastAsia="方正仿宋_GB2312" w:cs="方正仿宋_GB2312"/>
          <w:sz w:val="28"/>
          <w:szCs w:val="28"/>
        </w:rPr>
        <w:t>，主要建设内容为建设</w:t>
      </w:r>
      <w:r>
        <w:rPr>
          <w:rFonts w:hint="eastAsia" w:ascii="方正仿宋_GB2312" w:hAnsi="方正仿宋_GB2312" w:eastAsia="方正仿宋_GB2312" w:cs="方正仿宋_GB2312"/>
          <w:sz w:val="28"/>
          <w:szCs w:val="28"/>
          <w:lang w:eastAsia="zh-CN"/>
        </w:rPr>
        <w:t>步道</w:t>
      </w:r>
      <w:r>
        <w:rPr>
          <w:rFonts w:hint="eastAsia" w:ascii="方正仿宋_GB2312" w:hAnsi="方正仿宋_GB2312" w:eastAsia="方正仿宋_GB2312" w:cs="方正仿宋_GB2312"/>
          <w:sz w:val="28"/>
          <w:szCs w:val="28"/>
        </w:rPr>
        <w:t>宽度1.5米总</w:t>
      </w:r>
      <w:r>
        <w:rPr>
          <w:rFonts w:hint="eastAsia" w:ascii="方正仿宋_GB2312" w:hAnsi="方正仿宋_GB2312" w:eastAsia="方正仿宋_GB2312" w:cs="方正仿宋_GB2312"/>
          <w:sz w:val="28"/>
          <w:szCs w:val="28"/>
          <w:lang w:eastAsia="zh-CN"/>
        </w:rPr>
        <w:t>长</w:t>
      </w:r>
      <w:r>
        <w:rPr>
          <w:rFonts w:hint="eastAsia" w:ascii="方正仿宋_GB2312" w:hAnsi="方正仿宋_GB2312" w:eastAsia="方正仿宋_GB2312" w:cs="方正仿宋_GB2312"/>
          <w:sz w:val="28"/>
          <w:szCs w:val="28"/>
          <w:lang w:val="en-US" w:eastAsia="zh-CN"/>
        </w:rPr>
        <w:t>924.293</w:t>
      </w:r>
      <w:r>
        <w:rPr>
          <w:rFonts w:hint="eastAsia" w:ascii="方正仿宋_GB2312" w:hAnsi="方正仿宋_GB2312" w:eastAsia="方正仿宋_GB2312" w:cs="方正仿宋_GB2312"/>
          <w:sz w:val="28"/>
          <w:szCs w:val="28"/>
        </w:rPr>
        <w:t>米，新建</w:t>
      </w:r>
      <w:r>
        <w:rPr>
          <w:rFonts w:hint="eastAsia" w:ascii="方正仿宋_GB2312" w:hAnsi="方正仿宋_GB2312" w:eastAsia="方正仿宋_GB2312" w:cs="方正仿宋_GB2312"/>
          <w:sz w:val="28"/>
          <w:szCs w:val="28"/>
          <w:lang w:eastAsia="zh-CN"/>
        </w:rPr>
        <w:t>生态停车位</w:t>
      </w:r>
      <w:r>
        <w:rPr>
          <w:rFonts w:hint="eastAsia" w:ascii="方正仿宋_GB2312" w:hAnsi="方正仿宋_GB2312" w:eastAsia="方正仿宋_GB2312" w:cs="方正仿宋_GB2312"/>
          <w:sz w:val="28"/>
          <w:szCs w:val="28"/>
        </w:rPr>
        <w:t>植草砖、混凝土道路总</w:t>
      </w:r>
      <w:r>
        <w:rPr>
          <w:rFonts w:hint="eastAsia" w:ascii="方正仿宋_GB2312" w:hAnsi="方正仿宋_GB2312" w:eastAsia="方正仿宋_GB2312" w:cs="方正仿宋_GB2312"/>
          <w:sz w:val="28"/>
          <w:szCs w:val="28"/>
          <w:lang w:eastAsia="zh-CN"/>
        </w:rPr>
        <w:t>面积</w:t>
      </w:r>
      <w:r>
        <w:rPr>
          <w:rFonts w:hint="eastAsia" w:ascii="方正仿宋_GB2312" w:hAnsi="方正仿宋_GB2312" w:eastAsia="方正仿宋_GB2312" w:cs="方正仿宋_GB2312"/>
          <w:sz w:val="28"/>
          <w:szCs w:val="28"/>
          <w:lang w:val="en-US" w:eastAsia="zh-CN"/>
        </w:rPr>
        <w:t>2635.14平方</w:t>
      </w:r>
      <w:r>
        <w:rPr>
          <w:rFonts w:hint="eastAsia" w:ascii="方正仿宋_GB2312" w:hAnsi="方正仿宋_GB2312" w:eastAsia="方正仿宋_GB2312" w:cs="方正仿宋_GB2312"/>
          <w:sz w:val="28"/>
          <w:szCs w:val="28"/>
        </w:rPr>
        <w:t>米，</w:t>
      </w:r>
      <w:r>
        <w:rPr>
          <w:rFonts w:hint="eastAsia" w:ascii="方正仿宋_GB2312" w:hAnsi="方正仿宋_GB2312" w:eastAsia="方正仿宋_GB2312" w:cs="方正仿宋_GB2312"/>
          <w:sz w:val="28"/>
          <w:szCs w:val="28"/>
          <w:lang w:eastAsia="zh-CN"/>
        </w:rPr>
        <w:t>拆除、新建池塘护栏</w:t>
      </w:r>
      <w:r>
        <w:rPr>
          <w:rFonts w:hint="eastAsia" w:ascii="方正仿宋_GB2312" w:hAnsi="方正仿宋_GB2312" w:eastAsia="方正仿宋_GB2312" w:cs="方正仿宋_GB2312"/>
          <w:sz w:val="28"/>
          <w:szCs w:val="28"/>
          <w:lang w:val="en-US" w:eastAsia="zh-CN"/>
        </w:rPr>
        <w:t>89米，巷道硬化2036.97平方米，出村道路加宽0.5米，长214.474米，6米高太阳能路灯50盏，新建排水沟600米，生活及灌溉水渠修缮520米。</w:t>
      </w:r>
      <w:bookmarkStart w:id="17" w:name="_GoBack"/>
      <w:bookmarkEnd w:id="17"/>
    </w:p>
    <w:p w14:paraId="3E179550">
      <w:pPr>
        <w:spacing w:line="240" w:lineRule="atLeast"/>
        <w:jc w:val="both"/>
        <w:rPr>
          <w:rFonts w:hint="eastAsia" w:ascii="方正仿宋_GB2312" w:hAnsi="方正仿宋_GB2312" w:eastAsia="方正仿宋_GB2312" w:cs="方正仿宋_GB2312"/>
          <w:b/>
          <w:spacing w:val="10"/>
          <w:sz w:val="24"/>
        </w:rPr>
      </w:pPr>
      <w:r>
        <w:rPr>
          <w:rFonts w:hint="eastAsia" w:ascii="方正仿宋_GB2312" w:hAnsi="方正仿宋_GB2312" w:eastAsia="方正仿宋_GB2312" w:cs="方正仿宋_GB2312"/>
        </w:rPr>
        <w:drawing>
          <wp:inline distT="0" distB="0" distL="0" distR="0">
            <wp:extent cx="5943600" cy="3863975"/>
            <wp:effectExtent l="0" t="0" r="0" b="6985"/>
            <wp:docPr id="562294058" name="图片 1" descr="C:/Users/Administrator/Desktop/1/项目地理位置图.jpg项目地理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94058" name="图片 1" descr="C:/Users/Administrator/Desktop/1/项目地理位置图.jpg项目地理位置图"/>
                    <pic:cNvPicPr>
                      <a:picLocks noChangeAspect="1"/>
                    </pic:cNvPicPr>
                  </pic:nvPicPr>
                  <pic:blipFill>
                    <a:blip r:embed="rId4"/>
                    <a:srcRect l="7310" r="7310"/>
                    <a:stretch>
                      <a:fillRect/>
                    </a:stretch>
                  </pic:blipFill>
                  <pic:spPr>
                    <a:xfrm>
                      <a:off x="0" y="0"/>
                      <a:ext cx="5943600" cy="3863975"/>
                    </a:xfrm>
                    <a:prstGeom prst="rect">
                      <a:avLst/>
                    </a:prstGeom>
                  </pic:spPr>
                </pic:pic>
              </a:graphicData>
            </a:graphic>
          </wp:inline>
        </w:drawing>
      </w:r>
    </w:p>
    <w:p w14:paraId="1FCBCA9F">
      <w:pPr>
        <w:spacing w:line="240" w:lineRule="atLeast"/>
        <w:ind w:firstLine="570"/>
        <w:jc w:val="center"/>
        <w:rPr>
          <w:rFonts w:hint="eastAsia" w:ascii="方正仿宋_GB2312" w:hAnsi="方正仿宋_GB2312" w:eastAsia="方正仿宋_GB2312" w:cs="方正仿宋_GB2312"/>
          <w:b/>
          <w:spacing w:val="10"/>
          <w:sz w:val="24"/>
        </w:rPr>
      </w:pPr>
      <w:r>
        <w:rPr>
          <w:rFonts w:hint="eastAsia" w:ascii="方正仿宋_GB2312" w:hAnsi="方正仿宋_GB2312" w:eastAsia="方正仿宋_GB2312" w:cs="方正仿宋_GB2312"/>
          <w:b/>
          <w:spacing w:val="10"/>
          <w:sz w:val="24"/>
        </w:rPr>
        <w:t>工程地理位置图</w:t>
      </w:r>
    </w:p>
    <w:p w14:paraId="74D4E93D">
      <w:pPr>
        <w:pStyle w:val="58"/>
        <w:ind w:firstLine="0" w:firstLineChars="0"/>
        <w:jc w:val="left"/>
        <w:rPr>
          <w:rFonts w:hint="eastAsia" w:ascii="方正仿宋_GB2312" w:hAnsi="方正仿宋_GB2312" w:eastAsia="方正仿宋_GB2312" w:cs="方正仿宋_GB2312"/>
        </w:rPr>
      </w:pPr>
      <w:bookmarkStart w:id="0" w:name="_Toc532921724"/>
      <w:bookmarkStart w:id="1" w:name="_Toc27578"/>
      <w:r>
        <w:rPr>
          <w:rFonts w:hint="eastAsia" w:ascii="方正仿宋_GB2312" w:hAnsi="方正仿宋_GB2312" w:eastAsia="方正仿宋_GB2312" w:cs="方正仿宋_GB2312"/>
        </w:rPr>
        <w:t>二、设计原则</w:t>
      </w:r>
    </w:p>
    <w:p w14:paraId="1A95A0BC">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1）本项目设计方案贯彻“安全、环保、舒适、和谐”的设计理念。设计结合地形、地势而为，接近自然、融入自然，尽可能减少人为造成的影响，坚持“不破坏就是最大的保护”。</w:t>
      </w:r>
    </w:p>
    <w:p w14:paraId="79440038">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2）设计方案选择要充分考虑现状条件的协调性、对其合理性进行多方面比较，多方案比选。</w:t>
      </w:r>
    </w:p>
    <w:p w14:paraId="40C95FD3">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3）方案选取应注意同农田基本建设相配合，做到少占田地，并应尽量不占高产田、经济作物田。</w:t>
      </w:r>
    </w:p>
    <w:p w14:paraId="086E08AF">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4）设计过程中应重视环保，综合考虑本项目对自然景观与资源可能产生的影响，注意由于施工所产生的影响和污染。</w:t>
      </w:r>
    </w:p>
    <w:p w14:paraId="0EDF7706">
      <w:pPr>
        <w:pStyle w:val="21"/>
        <w:spacing w:line="600" w:lineRule="exact"/>
        <w:ind w:firstLine="560"/>
        <w:rPr>
          <w:rFonts w:hint="eastAsia" w:ascii="方正仿宋_GB2312" w:hAnsi="方正仿宋_GB2312" w:eastAsia="方正仿宋_GB2312" w:cs="方正仿宋_GB2312"/>
        </w:rPr>
      </w:pPr>
      <w:r>
        <w:rPr>
          <w:rFonts w:hint="eastAsia" w:ascii="方正仿宋_GB2312" w:hAnsi="方正仿宋_GB2312" w:eastAsia="方正仿宋_GB2312" w:cs="方正仿宋_GB2312"/>
          <w:sz w:val="28"/>
          <w:szCs w:val="28"/>
        </w:rPr>
        <w:t>5）本项目充分考虑周边建筑设施协调配合，方便沿线人民群众的生产和生活，促进地方经济发展。</w:t>
      </w:r>
    </w:p>
    <w:p w14:paraId="2DE5EA89">
      <w:pPr>
        <w:pStyle w:val="58"/>
        <w:ind w:firstLine="0" w:firstLineChars="0"/>
        <w:jc w:val="lef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三、设计依据</w:t>
      </w:r>
    </w:p>
    <w:p w14:paraId="68635CF0">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1、采用的设计规范</w:t>
      </w:r>
    </w:p>
    <w:p w14:paraId="46F154DB">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《中华人民共和国工程建设标准强制性条文（城市建设部分）》</w:t>
      </w:r>
    </w:p>
    <w:p w14:paraId="33511E17">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《城市道路工程设计规范》（CJJ 37-2012）（2016年版）</w:t>
      </w:r>
    </w:p>
    <w:p w14:paraId="49FC2B9A">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《城市道路路线设计规范》（CJJ 193－2012）</w:t>
      </w:r>
    </w:p>
    <w:p w14:paraId="6A218537">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《城市道路交叉口设计规程》（CJJ 152-2010）</w:t>
      </w:r>
    </w:p>
    <w:p w14:paraId="230079C1">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《城市道路路基设计规范》（CJJ 194－2013）</w:t>
      </w:r>
    </w:p>
    <w:p w14:paraId="47615F0C">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《城镇道路路面设计规范》（CJJ 169-2012）</w:t>
      </w:r>
    </w:p>
    <w:p w14:paraId="0477DA9C">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《城镇道路工程施工与质量验收规范》（CJJ 1-2008）</w:t>
      </w:r>
    </w:p>
    <w:p w14:paraId="4C09B584">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w:t>
      </w:r>
      <w:r>
        <w:rPr>
          <w:rFonts w:hint="eastAsia" w:ascii="方正仿宋_GB2312" w:hAnsi="方正仿宋_GB2312" w:eastAsia="方正仿宋_GB2312" w:cs="方正仿宋_GB2312"/>
          <w:lang w:eastAsia="zh-CN"/>
        </w:rPr>
        <w:t>景观路面铺装技术规程</w:t>
      </w:r>
      <w:r>
        <w:rPr>
          <w:rFonts w:hint="eastAsia" w:ascii="方正仿宋_GB2312" w:hAnsi="方正仿宋_GB2312" w:eastAsia="方正仿宋_GB2312" w:cs="方正仿宋_GB2312"/>
        </w:rPr>
        <w:t>》</w:t>
      </w:r>
    </w:p>
    <w:p w14:paraId="17D0BD88">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《城镇道路工程施工与质量验收规范》（CJJ 1-2008）</w:t>
      </w:r>
    </w:p>
    <w:p w14:paraId="60ED93FC">
      <w:pPr>
        <w:pStyle w:val="21"/>
        <w:spacing w:line="600" w:lineRule="exac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国家和地方其它相关行业技术和规范标准</w:t>
      </w:r>
    </w:p>
    <w:p w14:paraId="4E199413">
      <w:pPr>
        <w:pStyle w:val="21"/>
        <w:spacing w:line="600" w:lineRule="exact"/>
        <w:ind w:left="0" w:leftChars="0" w:firstLine="0" w:firstLineChars="0"/>
        <w:rPr>
          <w:rFonts w:hint="eastAsia" w:ascii="方正仿宋_GB2312" w:hAnsi="方正仿宋_GB2312" w:eastAsia="方正仿宋_GB2312" w:cs="方正仿宋_GB2312"/>
        </w:rPr>
      </w:pPr>
    </w:p>
    <w:bookmarkEnd w:id="0"/>
    <w:bookmarkEnd w:id="1"/>
    <w:p w14:paraId="5CDDBC77">
      <w:pPr>
        <w:pStyle w:val="58"/>
        <w:ind w:firstLine="0" w:firstLineChars="0"/>
        <w:jc w:val="lef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四、总体设计原则</w:t>
      </w:r>
    </w:p>
    <w:p w14:paraId="4194045C">
      <w:pPr>
        <w:pStyle w:val="21"/>
        <w:spacing w:line="600" w:lineRule="exact"/>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根据《城市道路工程设计规范》（CJJ37-2012）（2016年版）中相应指标要求，对路线所处区域地形图等资料进行路线设计。</w:t>
      </w:r>
    </w:p>
    <w:p w14:paraId="6678232C">
      <w:pPr>
        <w:pStyle w:val="21"/>
        <w:spacing w:line="600" w:lineRule="exact"/>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rPr>
        <w:drawing>
          <wp:anchor distT="0" distB="0" distL="114300" distR="114300" simplePos="0" relativeHeight="251660288" behindDoc="0" locked="0" layoutInCell="1" allowOverlap="1">
            <wp:simplePos x="0" y="0"/>
            <wp:positionH relativeFrom="column">
              <wp:posOffset>6988175</wp:posOffset>
            </wp:positionH>
            <wp:positionV relativeFrom="paragraph">
              <wp:posOffset>-1841500</wp:posOffset>
            </wp:positionV>
            <wp:extent cx="5722620" cy="4038600"/>
            <wp:effectExtent l="0" t="0" r="7620" b="0"/>
            <wp:wrapTopAndBottom/>
            <wp:docPr id="171632873" name="图片 1" descr="C:/Users/Administrator/Desktop/1/停车场.jpg停车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2873" name="图片 1" descr="C:/Users/Administrator/Desktop/1/停车场.jpg停车场"/>
                    <pic:cNvPicPr>
                      <a:picLocks noChangeAspect="1"/>
                    </pic:cNvPicPr>
                  </pic:nvPicPr>
                  <pic:blipFill>
                    <a:blip r:embed="rId5"/>
                    <a:srcRect t="2957" b="2957"/>
                    <a:stretch>
                      <a:fillRect/>
                    </a:stretch>
                  </pic:blipFill>
                  <pic:spPr>
                    <a:xfrm>
                      <a:off x="0" y="0"/>
                      <a:ext cx="5722620" cy="4038600"/>
                    </a:xfrm>
                    <a:prstGeom prst="rect">
                      <a:avLst/>
                    </a:prstGeom>
                  </pic:spPr>
                </pic:pic>
              </a:graphicData>
            </a:graphic>
          </wp:anchor>
        </w:drawing>
      </w:r>
      <w:r>
        <w:rPr>
          <w:rFonts w:hint="eastAsia" w:ascii="方正仿宋_GB2312" w:hAnsi="方正仿宋_GB2312" w:eastAsia="方正仿宋_GB2312" w:cs="方正仿宋_GB2312"/>
          <w:spacing w:val="10"/>
          <w:sz w:val="28"/>
        </w:rPr>
        <w:t>路线布设符合上述规划的总体走向，同时结合地形、地物、地质、水文等情况，考虑道路平面、纵断面、横断面相互协调立体组合，尽量减少占地，减少拆迁电力、房屋等建筑物，重视交通功能的完善，重视行车的快速和安全，重视减少对现状建筑物的影响，重视与现状道路的衔接，重视道路景观效果。在不过多增加投资的条件下，尽量采用较高的技术指标，注意线形的均衡、连续性。</w:t>
      </w:r>
    </w:p>
    <w:p w14:paraId="35AC4028">
      <w:pPr>
        <w:pStyle w:val="58"/>
        <w:ind w:firstLine="0" w:firstLineChars="0"/>
        <w:jc w:val="left"/>
        <w:rPr>
          <w:rFonts w:hint="eastAsia" w:ascii="方正仿宋_GB2312" w:hAnsi="方正仿宋_GB2312" w:eastAsia="方正仿宋_GB2312" w:cs="方正仿宋_GB2312"/>
          <w:sz w:val="28"/>
          <w:szCs w:val="28"/>
          <w:lang w:eastAsia="zh-CN"/>
        </w:rPr>
      </w:pPr>
      <w:r>
        <w:rPr>
          <w:rFonts w:hint="eastAsia" w:ascii="方正仿宋_GB2312" w:hAnsi="方正仿宋_GB2312" w:eastAsia="方正仿宋_GB2312" w:cs="方正仿宋_GB2312"/>
        </w:rPr>
        <w:t>五、项目现状情况</w:t>
      </w:r>
    </w:p>
    <w:p w14:paraId="2D322223">
      <w:pPr>
        <w:pStyle w:val="21"/>
        <w:spacing w:line="600" w:lineRule="exact"/>
        <w:ind w:left="0" w:leftChars="0" w:firstLine="0" w:firstLineChars="0"/>
        <w:jc w:val="center"/>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rPr>
        <w:drawing>
          <wp:anchor distT="0" distB="0" distL="114300" distR="114300" simplePos="0" relativeHeight="251659264" behindDoc="0" locked="0" layoutInCell="1" allowOverlap="1">
            <wp:simplePos x="0" y="0"/>
            <wp:positionH relativeFrom="column">
              <wp:posOffset>-141605</wp:posOffset>
            </wp:positionH>
            <wp:positionV relativeFrom="paragraph">
              <wp:posOffset>114300</wp:posOffset>
            </wp:positionV>
            <wp:extent cx="5588000" cy="3810635"/>
            <wp:effectExtent l="0" t="0" r="5080" b="14605"/>
            <wp:wrapTopAndBottom/>
            <wp:docPr id="311590068" name="图片 1" descr="C:/Users/Administrator/Desktop/1/水塘.jpg水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90068" name="图片 1" descr="C:/Users/Administrator/Desktop/1/水塘.jpg水塘"/>
                    <pic:cNvPicPr>
                      <a:picLocks noChangeAspect="1"/>
                    </pic:cNvPicPr>
                  </pic:nvPicPr>
                  <pic:blipFill>
                    <a:blip r:embed="rId6"/>
                    <a:srcRect t="24438" b="24438"/>
                    <a:stretch>
                      <a:fillRect/>
                    </a:stretch>
                  </pic:blipFill>
                  <pic:spPr>
                    <a:xfrm>
                      <a:off x="0" y="0"/>
                      <a:ext cx="5588000" cy="3810635"/>
                    </a:xfrm>
                    <a:prstGeom prst="rect">
                      <a:avLst/>
                    </a:prstGeom>
                  </pic:spPr>
                </pic:pic>
              </a:graphicData>
            </a:graphic>
          </wp:anchor>
        </w:drawing>
      </w:r>
      <w:r>
        <w:rPr>
          <w:rFonts w:hint="eastAsia" w:ascii="方正仿宋_GB2312" w:hAnsi="方正仿宋_GB2312" w:eastAsia="方正仿宋_GB2312" w:cs="方正仿宋_GB2312"/>
          <w:sz w:val="28"/>
          <w:szCs w:val="28"/>
        </w:rPr>
        <w:t>现状</w:t>
      </w:r>
      <w:r>
        <w:rPr>
          <w:rFonts w:hint="eastAsia" w:ascii="方正仿宋_GB2312" w:hAnsi="方正仿宋_GB2312" w:eastAsia="方正仿宋_GB2312" w:cs="方正仿宋_GB2312"/>
          <w:sz w:val="28"/>
          <w:szCs w:val="28"/>
          <w:lang w:eastAsia="zh-CN"/>
        </w:rPr>
        <w:t>池塘</w:t>
      </w:r>
    </w:p>
    <w:p w14:paraId="0AEDCC94">
      <w:pPr>
        <w:pStyle w:val="21"/>
        <w:spacing w:line="600" w:lineRule="exact"/>
        <w:ind w:firstLine="560"/>
        <w:jc w:val="center"/>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z w:val="28"/>
          <w:szCs w:val="28"/>
        </w:rPr>
        <w:t>现状</w:t>
      </w:r>
      <w:r>
        <w:rPr>
          <w:rFonts w:hint="eastAsia" w:ascii="方正仿宋_GB2312" w:hAnsi="方正仿宋_GB2312" w:eastAsia="方正仿宋_GB2312" w:cs="方正仿宋_GB2312"/>
          <w:sz w:val="28"/>
          <w:szCs w:val="28"/>
          <w:lang w:eastAsia="zh-CN"/>
        </w:rPr>
        <w:t>停车场区域</w:t>
      </w:r>
    </w:p>
    <w:p w14:paraId="4C3429AD">
      <w:pPr>
        <w:pStyle w:val="58"/>
        <w:ind w:firstLine="0" w:firstLineChars="0"/>
        <w:jc w:val="left"/>
        <w:rPr>
          <w:rFonts w:hint="eastAsia" w:ascii="方正仿宋_GB2312" w:hAnsi="方正仿宋_GB2312" w:eastAsia="方正仿宋_GB2312" w:cs="方正仿宋_GB2312"/>
        </w:rPr>
      </w:pPr>
      <w:bookmarkStart w:id="2" w:name="_Toc532921727"/>
      <w:r>
        <w:rPr>
          <w:rFonts w:hint="eastAsia" w:ascii="方正仿宋_GB2312" w:hAnsi="方正仿宋_GB2312" w:eastAsia="方正仿宋_GB2312" w:cs="方正仿宋_GB2312"/>
        </w:rPr>
        <w:t>六、</w:t>
      </w:r>
      <w:bookmarkEnd w:id="2"/>
      <w:r>
        <w:rPr>
          <w:rFonts w:hint="eastAsia" w:ascii="方正仿宋_GB2312" w:hAnsi="方正仿宋_GB2312" w:eastAsia="方正仿宋_GB2312" w:cs="方正仿宋_GB2312"/>
        </w:rPr>
        <w:t>工程设计</w:t>
      </w:r>
    </w:p>
    <w:p w14:paraId="082FA76B">
      <w:pPr>
        <w:spacing w:line="240" w:lineRule="atLeast"/>
        <w:outlineLvl w:val="1"/>
        <w:rPr>
          <w:rFonts w:hint="eastAsia" w:ascii="方正仿宋_GB2312" w:hAnsi="方正仿宋_GB2312" w:eastAsia="方正仿宋_GB2312" w:cs="方正仿宋_GB2312"/>
          <w:b/>
          <w:sz w:val="30"/>
          <w:szCs w:val="30"/>
        </w:rPr>
      </w:pPr>
      <w:bookmarkStart w:id="3" w:name="_Toc532921728"/>
      <w:r>
        <w:rPr>
          <w:rFonts w:hint="eastAsia" w:ascii="方正仿宋_GB2312" w:hAnsi="方正仿宋_GB2312" w:eastAsia="方正仿宋_GB2312" w:cs="方正仿宋_GB2312"/>
          <w:b/>
          <w:sz w:val="30"/>
          <w:szCs w:val="30"/>
        </w:rPr>
        <w:t>1、</w:t>
      </w:r>
      <w:bookmarkEnd w:id="3"/>
      <w:r>
        <w:rPr>
          <w:rFonts w:hint="eastAsia" w:ascii="方正仿宋_GB2312" w:hAnsi="方正仿宋_GB2312" w:eastAsia="方正仿宋_GB2312" w:cs="方正仿宋_GB2312"/>
          <w:b/>
          <w:sz w:val="30"/>
          <w:szCs w:val="30"/>
          <w:lang w:eastAsia="zh-CN"/>
        </w:rPr>
        <w:t>步道</w:t>
      </w:r>
      <w:r>
        <w:rPr>
          <w:rFonts w:hint="eastAsia" w:ascii="方正仿宋_GB2312" w:hAnsi="方正仿宋_GB2312" w:eastAsia="方正仿宋_GB2312" w:cs="方正仿宋_GB2312"/>
          <w:b/>
          <w:sz w:val="30"/>
          <w:szCs w:val="30"/>
        </w:rPr>
        <w:t>设计</w:t>
      </w:r>
    </w:p>
    <w:p w14:paraId="6C4BF04F">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（1）荔枝面青石板</w:t>
      </w:r>
      <w:r>
        <w:rPr>
          <w:rFonts w:hint="eastAsia" w:ascii="方正仿宋_GB2312" w:hAnsi="方正仿宋_GB2312" w:eastAsia="方正仿宋_GB2312" w:cs="方正仿宋_GB2312"/>
          <w:sz w:val="28"/>
          <w:szCs w:val="28"/>
          <w:lang w:eastAsia="zh-CN"/>
        </w:rPr>
        <w:t>碎拼步道</w:t>
      </w:r>
    </w:p>
    <w:p w14:paraId="1CDFCD15">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本项目</w:t>
      </w:r>
      <w:r>
        <w:rPr>
          <w:rFonts w:hint="eastAsia" w:ascii="方正仿宋_GB2312" w:hAnsi="方正仿宋_GB2312" w:eastAsia="方正仿宋_GB2312" w:cs="方正仿宋_GB2312"/>
          <w:sz w:val="28"/>
          <w:szCs w:val="28"/>
          <w:lang w:eastAsia="zh-CN"/>
        </w:rPr>
        <w:t>新建</w:t>
      </w:r>
      <w:r>
        <w:rPr>
          <w:rFonts w:hint="eastAsia" w:ascii="方正仿宋_GB2312" w:hAnsi="方正仿宋_GB2312" w:eastAsia="方正仿宋_GB2312" w:cs="方正仿宋_GB2312"/>
          <w:sz w:val="28"/>
          <w:szCs w:val="28"/>
        </w:rPr>
        <w:t>荔枝面青石板</w:t>
      </w:r>
      <w:r>
        <w:rPr>
          <w:rFonts w:hint="eastAsia" w:ascii="方正仿宋_GB2312" w:hAnsi="方正仿宋_GB2312" w:eastAsia="方正仿宋_GB2312" w:cs="方正仿宋_GB2312"/>
          <w:sz w:val="28"/>
          <w:szCs w:val="28"/>
          <w:lang w:eastAsia="zh-CN"/>
        </w:rPr>
        <w:t>碎拼步道</w:t>
      </w:r>
      <w:r>
        <w:rPr>
          <w:rFonts w:hint="eastAsia" w:ascii="方正仿宋_GB2312" w:hAnsi="方正仿宋_GB2312" w:eastAsia="方正仿宋_GB2312" w:cs="方正仿宋_GB2312"/>
          <w:sz w:val="28"/>
          <w:szCs w:val="28"/>
        </w:rPr>
        <w:t>，</w:t>
      </w:r>
      <w:r>
        <w:rPr>
          <w:rFonts w:hint="eastAsia" w:ascii="方正仿宋_GB2312" w:hAnsi="方正仿宋_GB2312" w:eastAsia="方正仿宋_GB2312" w:cs="方正仿宋_GB2312"/>
          <w:sz w:val="28"/>
          <w:szCs w:val="28"/>
          <w:lang w:eastAsia="zh-CN"/>
        </w:rPr>
        <w:t>步道</w:t>
      </w:r>
      <w:r>
        <w:rPr>
          <w:rFonts w:hint="eastAsia" w:ascii="方正仿宋_GB2312" w:hAnsi="方正仿宋_GB2312" w:eastAsia="方正仿宋_GB2312" w:cs="方正仿宋_GB2312"/>
          <w:sz w:val="28"/>
          <w:szCs w:val="28"/>
        </w:rPr>
        <w:t>总</w:t>
      </w:r>
      <w:r>
        <w:rPr>
          <w:rFonts w:hint="eastAsia" w:ascii="方正仿宋_GB2312" w:hAnsi="方正仿宋_GB2312" w:eastAsia="方正仿宋_GB2312" w:cs="方正仿宋_GB2312"/>
          <w:sz w:val="28"/>
          <w:szCs w:val="28"/>
          <w:lang w:eastAsia="zh-CN"/>
        </w:rPr>
        <w:t>长</w:t>
      </w:r>
      <w:r>
        <w:rPr>
          <w:rFonts w:hint="eastAsia" w:ascii="方正仿宋_GB2312" w:hAnsi="方正仿宋_GB2312" w:eastAsia="方正仿宋_GB2312" w:cs="方正仿宋_GB2312"/>
          <w:sz w:val="28"/>
          <w:szCs w:val="28"/>
          <w:lang w:val="en-US" w:eastAsia="zh-CN"/>
        </w:rPr>
        <w:t>924.293</w:t>
      </w:r>
      <w:r>
        <w:rPr>
          <w:rFonts w:hint="eastAsia" w:ascii="方正仿宋_GB2312" w:hAnsi="方正仿宋_GB2312" w:eastAsia="方正仿宋_GB2312" w:cs="方正仿宋_GB2312"/>
          <w:sz w:val="28"/>
          <w:szCs w:val="28"/>
        </w:rPr>
        <w:t>米，道路宽度1.5米。主要方便周边村民</w:t>
      </w:r>
      <w:r>
        <w:rPr>
          <w:rFonts w:hint="eastAsia" w:ascii="方正仿宋_GB2312" w:hAnsi="方正仿宋_GB2312" w:eastAsia="方正仿宋_GB2312" w:cs="方正仿宋_GB2312"/>
          <w:sz w:val="28"/>
          <w:szCs w:val="28"/>
          <w:lang w:eastAsia="zh-CN"/>
        </w:rPr>
        <w:t>农作</w:t>
      </w:r>
      <w:r>
        <w:rPr>
          <w:rFonts w:hint="eastAsia" w:ascii="方正仿宋_GB2312" w:hAnsi="方正仿宋_GB2312" w:eastAsia="方正仿宋_GB2312" w:cs="方正仿宋_GB2312"/>
          <w:sz w:val="28"/>
          <w:szCs w:val="28"/>
        </w:rPr>
        <w:t>及游客出入。</w:t>
      </w:r>
    </w:p>
    <w:p w14:paraId="50CB50E8">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在对工程造价影响不大的前提下，尽量采用较高的技术指标，并保证良好的平纵配合设计。</w:t>
      </w:r>
    </w:p>
    <w:p w14:paraId="22EBA98D">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lang w:eastAsia="zh-CN"/>
        </w:rPr>
        <w:t>步道</w:t>
      </w:r>
      <w:r>
        <w:rPr>
          <w:rFonts w:hint="eastAsia" w:ascii="方正仿宋_GB2312" w:hAnsi="方正仿宋_GB2312" w:eastAsia="方正仿宋_GB2312" w:cs="方正仿宋_GB2312"/>
          <w:sz w:val="28"/>
          <w:szCs w:val="28"/>
        </w:rPr>
        <w:t>路面结构为荔枝面青石板路面，路面结构方案具体如下：</w:t>
      </w:r>
    </w:p>
    <w:p w14:paraId="45D454D3">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lang w:val="en-US" w:eastAsia="zh-CN"/>
        </w:rPr>
        <w:t>3</w:t>
      </w:r>
      <w:r>
        <w:rPr>
          <w:rFonts w:hint="eastAsia" w:ascii="方正仿宋_GB2312" w:hAnsi="方正仿宋_GB2312" w:eastAsia="方正仿宋_GB2312" w:cs="方正仿宋_GB2312"/>
          <w:sz w:val="28"/>
          <w:szCs w:val="28"/>
        </w:rPr>
        <w:t>cm荔枝面青石板</w:t>
      </w:r>
    </w:p>
    <w:p w14:paraId="7DC6EAE1">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3cm M7.5水泥砂浆</w:t>
      </w:r>
    </w:p>
    <w:p w14:paraId="532DBDD6">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10cm C20混凝土</w:t>
      </w:r>
    </w:p>
    <w:p w14:paraId="6FA5B64A">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1</w:t>
      </w:r>
      <w:r>
        <w:rPr>
          <w:rFonts w:hint="eastAsia" w:ascii="方正仿宋_GB2312" w:hAnsi="方正仿宋_GB2312" w:eastAsia="方正仿宋_GB2312" w:cs="方正仿宋_GB2312"/>
          <w:sz w:val="28"/>
          <w:szCs w:val="28"/>
          <w:lang w:val="en-US" w:eastAsia="zh-CN"/>
        </w:rPr>
        <w:t>0</w:t>
      </w:r>
      <w:r>
        <w:rPr>
          <w:rFonts w:hint="eastAsia" w:ascii="方正仿宋_GB2312" w:hAnsi="方正仿宋_GB2312" w:eastAsia="方正仿宋_GB2312" w:cs="方正仿宋_GB2312"/>
          <w:sz w:val="28"/>
          <w:szCs w:val="28"/>
        </w:rPr>
        <w:t>cm 级配碎石</w:t>
      </w:r>
    </w:p>
    <w:p w14:paraId="434F3A7B">
      <w:pPr>
        <w:spacing w:line="240" w:lineRule="atLeast"/>
        <w:outlineLvl w:val="1"/>
        <w:rPr>
          <w:rFonts w:hint="eastAsia" w:ascii="方正仿宋_GB2312" w:hAnsi="方正仿宋_GB2312" w:eastAsia="方正仿宋_GB2312" w:cs="方正仿宋_GB2312"/>
          <w:b/>
          <w:sz w:val="30"/>
          <w:szCs w:val="30"/>
          <w:lang w:eastAsia="zh-CN"/>
        </w:rPr>
      </w:pPr>
      <w:bookmarkStart w:id="4" w:name="_Toc532921731"/>
      <w:r>
        <w:rPr>
          <w:rFonts w:hint="eastAsia" w:ascii="方正仿宋_GB2312" w:hAnsi="方正仿宋_GB2312" w:eastAsia="方正仿宋_GB2312" w:cs="方正仿宋_GB2312"/>
          <w:b/>
          <w:sz w:val="30"/>
          <w:szCs w:val="30"/>
        </w:rPr>
        <w:t>2、</w:t>
      </w:r>
      <w:bookmarkEnd w:id="4"/>
      <w:r>
        <w:rPr>
          <w:rFonts w:hint="eastAsia" w:ascii="方正仿宋_GB2312" w:hAnsi="方正仿宋_GB2312" w:eastAsia="方正仿宋_GB2312" w:cs="方正仿宋_GB2312"/>
          <w:b/>
          <w:sz w:val="30"/>
          <w:szCs w:val="30"/>
          <w:lang w:eastAsia="zh-CN"/>
        </w:rPr>
        <w:t>生态停车场</w:t>
      </w:r>
    </w:p>
    <w:p w14:paraId="304357C5">
      <w:pPr>
        <w:pStyle w:val="21"/>
        <w:spacing w:line="360" w:lineRule="auto"/>
        <w:ind w:firstLine="56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z w:val="28"/>
          <w:szCs w:val="28"/>
        </w:rPr>
        <w:t>本项目在场地进行植草砖和混凝土硬化，总面积为</w:t>
      </w:r>
      <w:r>
        <w:rPr>
          <w:rFonts w:hint="eastAsia" w:ascii="方正仿宋_GB2312" w:hAnsi="方正仿宋_GB2312" w:eastAsia="方正仿宋_GB2312" w:cs="方正仿宋_GB2312"/>
          <w:sz w:val="28"/>
          <w:szCs w:val="28"/>
          <w:lang w:val="en-US" w:eastAsia="zh-CN"/>
        </w:rPr>
        <w:t>2635.14</w:t>
      </w:r>
      <w:r>
        <w:rPr>
          <w:rFonts w:hint="eastAsia" w:ascii="方正仿宋_GB2312" w:hAnsi="方正仿宋_GB2312" w:eastAsia="方正仿宋_GB2312" w:cs="方正仿宋_GB2312"/>
          <w:sz w:val="28"/>
          <w:szCs w:val="28"/>
        </w:rPr>
        <w:t>平方米。</w:t>
      </w:r>
    </w:p>
    <w:p w14:paraId="5183556D">
      <w:pPr>
        <w:pStyle w:val="21"/>
        <w:spacing w:line="360" w:lineRule="auto"/>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场地设计综合考虑沿线地形、地下管线、地质、水文、气候和排水，合理设置设计标高，本着尽量节省投资、减少路基土石方并与沿线地形及周边环境相协调的原则，在满足技术规范要求的前提进行设计。</w:t>
      </w:r>
    </w:p>
    <w:p w14:paraId="36712126">
      <w:pPr>
        <w:pStyle w:val="21"/>
        <w:spacing w:line="360" w:lineRule="auto"/>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①保证行车安全、舒适、纵坡宜缓顺，起伏不宜频繁。</w:t>
      </w:r>
    </w:p>
    <w:p w14:paraId="2D116D85">
      <w:pPr>
        <w:pStyle w:val="21"/>
        <w:spacing w:line="360" w:lineRule="auto"/>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②需考虑已建成道路标高，满足排水需求。</w:t>
      </w:r>
    </w:p>
    <w:p w14:paraId="101C73AB">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硬化植草砖结构方案具体如下：</w:t>
      </w:r>
    </w:p>
    <w:p w14:paraId="2E8E1CB2">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8cm 植草砖（包含土和</w:t>
      </w:r>
      <w:r>
        <w:rPr>
          <w:rFonts w:hint="eastAsia" w:ascii="方正仿宋_GB2312" w:hAnsi="方正仿宋_GB2312" w:eastAsia="方正仿宋_GB2312" w:cs="方正仿宋_GB2312"/>
          <w:sz w:val="28"/>
          <w:szCs w:val="28"/>
          <w:lang w:eastAsia="zh-CN"/>
        </w:rPr>
        <w:t>草籽</w:t>
      </w:r>
      <w:r>
        <w:rPr>
          <w:rFonts w:hint="eastAsia" w:ascii="方正仿宋_GB2312" w:hAnsi="方正仿宋_GB2312" w:eastAsia="方正仿宋_GB2312" w:cs="方正仿宋_GB2312"/>
          <w:sz w:val="28"/>
          <w:szCs w:val="28"/>
        </w:rPr>
        <w:t>）</w:t>
      </w:r>
    </w:p>
    <w:p w14:paraId="1CEFADA3">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5cm 黄土粗砂（1:1）</w:t>
      </w:r>
    </w:p>
    <w:p w14:paraId="31E4F8F1">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lang w:val="en-US" w:eastAsia="zh-CN"/>
        </w:rPr>
        <w:t>15</w:t>
      </w:r>
      <w:r>
        <w:rPr>
          <w:rFonts w:hint="eastAsia" w:ascii="方正仿宋_GB2312" w:hAnsi="方正仿宋_GB2312" w:eastAsia="方正仿宋_GB2312" w:cs="方正仿宋_GB2312"/>
          <w:sz w:val="28"/>
          <w:szCs w:val="28"/>
        </w:rPr>
        <w:t>cm C20混凝土</w:t>
      </w:r>
    </w:p>
    <w:p w14:paraId="382F0E44">
      <w:pPr>
        <w:spacing w:line="360" w:lineRule="auto"/>
        <w:ind w:firstLine="560" w:firstLineChars="20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lang w:val="en-US" w:eastAsia="zh-CN"/>
        </w:rPr>
        <w:t>10</w:t>
      </w:r>
      <w:r>
        <w:rPr>
          <w:rFonts w:hint="eastAsia" w:ascii="方正仿宋_GB2312" w:hAnsi="方正仿宋_GB2312" w:eastAsia="方正仿宋_GB2312" w:cs="方正仿宋_GB2312"/>
          <w:sz w:val="28"/>
          <w:szCs w:val="28"/>
        </w:rPr>
        <w:t>cm 级配碎石</w:t>
      </w:r>
    </w:p>
    <w:p w14:paraId="3A6C6CFF">
      <w:pPr>
        <w:pStyle w:val="21"/>
        <w:spacing w:line="360" w:lineRule="auto"/>
        <w:ind w:firstLine="56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土基（压实度≥92%）</w:t>
      </w:r>
    </w:p>
    <w:p w14:paraId="5E3379DF">
      <w:pPr>
        <w:pStyle w:val="21"/>
        <w:spacing w:line="360" w:lineRule="auto"/>
        <w:ind w:firstLine="560"/>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混凝土道路结构方案具体如下：</w:t>
      </w:r>
    </w:p>
    <w:p w14:paraId="3B1242F3">
      <w:pPr>
        <w:pStyle w:val="21"/>
        <w:spacing w:line="360" w:lineRule="auto"/>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val="en-US" w:eastAsia="zh-CN"/>
        </w:rPr>
        <w:t>18</w:t>
      </w:r>
      <w:r>
        <w:rPr>
          <w:rFonts w:hint="eastAsia" w:ascii="方正仿宋_GB2312" w:hAnsi="方正仿宋_GB2312" w:eastAsia="方正仿宋_GB2312" w:cs="方正仿宋_GB2312"/>
          <w:spacing w:val="10"/>
          <w:sz w:val="28"/>
        </w:rPr>
        <w:t>cm C30混凝土</w:t>
      </w:r>
    </w:p>
    <w:p w14:paraId="6D75C1A2">
      <w:pPr>
        <w:pStyle w:val="21"/>
        <w:spacing w:line="360" w:lineRule="auto"/>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val="en-US" w:eastAsia="zh-CN"/>
        </w:rPr>
        <w:t>1</w:t>
      </w:r>
      <w:r>
        <w:rPr>
          <w:rFonts w:hint="eastAsia" w:ascii="方正仿宋_GB2312" w:hAnsi="方正仿宋_GB2312" w:eastAsia="方正仿宋_GB2312" w:cs="方正仿宋_GB2312"/>
          <w:spacing w:val="10"/>
          <w:sz w:val="28"/>
        </w:rPr>
        <w:t>0cm 级配碎石</w:t>
      </w:r>
    </w:p>
    <w:p w14:paraId="3106921E">
      <w:pPr>
        <w:pStyle w:val="21"/>
        <w:spacing w:line="360" w:lineRule="auto"/>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spacing w:val="10"/>
          <w:sz w:val="28"/>
        </w:rPr>
        <w:t>本场地区域内设计标高根据周边现状道路及建筑标高合理设置，并对场地进行场地平整，</w:t>
      </w:r>
      <w:r>
        <w:rPr>
          <w:rFonts w:hint="eastAsia" w:ascii="方正仿宋_GB2312" w:hAnsi="方正仿宋_GB2312" w:eastAsia="方正仿宋_GB2312" w:cs="方正仿宋_GB2312"/>
          <w:sz w:val="28"/>
          <w:szCs w:val="28"/>
        </w:rPr>
        <w:t>挖土方</w:t>
      </w:r>
      <w:r>
        <w:rPr>
          <w:rFonts w:hint="eastAsia" w:ascii="方正仿宋_GB2312" w:hAnsi="方正仿宋_GB2312" w:eastAsia="方正仿宋_GB2312" w:cs="方正仿宋_GB2312"/>
          <w:sz w:val="28"/>
          <w:szCs w:val="28"/>
          <w:lang w:val="en-US" w:eastAsia="zh-CN"/>
        </w:rPr>
        <w:t>1317.57</w:t>
      </w:r>
      <w:r>
        <w:rPr>
          <w:rFonts w:hint="eastAsia" w:ascii="方正仿宋_GB2312" w:hAnsi="方正仿宋_GB2312" w:eastAsia="方正仿宋_GB2312" w:cs="方正仿宋_GB2312"/>
          <w:sz w:val="28"/>
          <w:szCs w:val="28"/>
        </w:rPr>
        <w:t>立方米。</w:t>
      </w:r>
    </w:p>
    <w:p w14:paraId="57C0AA1B">
      <w:pPr>
        <w:pStyle w:val="21"/>
        <w:spacing w:line="360" w:lineRule="auto"/>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生态植草砖设置路缘石和平石，设计采用预制C30。</w:t>
      </w:r>
    </w:p>
    <w:p w14:paraId="154ABC08">
      <w:pPr>
        <w:pStyle w:val="21"/>
        <w:spacing w:line="360" w:lineRule="auto"/>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平石规格为：49×22×10cm，设置在植草砖外侧；车行道位置与植草砖位置之间</w:t>
      </w:r>
    </w:p>
    <w:p w14:paraId="14ECDB71">
      <w:pPr>
        <w:pStyle w:val="58"/>
        <w:ind w:firstLine="0" w:firstLineChars="0"/>
        <w:jc w:val="lef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七、施工注意事项</w:t>
      </w:r>
    </w:p>
    <w:p w14:paraId="5DAB4681">
      <w:pPr>
        <w:spacing w:line="240" w:lineRule="atLeast"/>
        <w:outlineLvl w:val="1"/>
        <w:rPr>
          <w:rFonts w:hint="eastAsia" w:ascii="方正仿宋_GB2312" w:hAnsi="方正仿宋_GB2312" w:eastAsia="方正仿宋_GB2312" w:cs="方正仿宋_GB2312"/>
          <w:b/>
          <w:sz w:val="30"/>
          <w:szCs w:val="30"/>
        </w:rPr>
      </w:pPr>
      <w:bookmarkStart w:id="5" w:name="_Toc468951143"/>
      <w:bookmarkStart w:id="6" w:name="_Toc468724352"/>
      <w:r>
        <w:rPr>
          <w:rFonts w:hint="eastAsia" w:ascii="方正仿宋_GB2312" w:hAnsi="方正仿宋_GB2312" w:eastAsia="方正仿宋_GB2312" w:cs="方正仿宋_GB2312"/>
          <w:b/>
          <w:sz w:val="30"/>
          <w:szCs w:val="30"/>
        </w:rPr>
        <w:t>7.1、施工过程尽量做到文明施工，减小噪音、粉尘污染。</w:t>
      </w:r>
      <w:bookmarkEnd w:id="5"/>
      <w:bookmarkEnd w:id="6"/>
    </w:p>
    <w:p w14:paraId="0EBCB582">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施工过程应规范施工的安全生产文明施工管理，确保施工作业人员的人身安全和设备安全。降噪方面尽量使用低噪音的机械，无法避免使用高噪音机械时，要集中在白天，禁止中午和夜间使用高噪音动力机械以满足城市防噪音要求；空压机、发电机采取修建机房以起到吸音、隔音作用。工地现场、施工道路保持地面湿润，防止灰尘对周围环境的污染，现场设清洁工，专门负责清扫和洒水；严禁在现场焚烧有毒、有害、有臭气味的物质；现场施工采取搭棚遮盖或喷雾洒水等防尘措施。</w:t>
      </w:r>
    </w:p>
    <w:p w14:paraId="788BEC41">
      <w:pPr>
        <w:spacing w:line="240" w:lineRule="atLeast"/>
        <w:outlineLvl w:val="1"/>
        <w:rPr>
          <w:rFonts w:hint="eastAsia" w:ascii="方正仿宋_GB2312" w:hAnsi="方正仿宋_GB2312" w:eastAsia="方正仿宋_GB2312" w:cs="方正仿宋_GB2312"/>
          <w:b/>
          <w:sz w:val="30"/>
          <w:szCs w:val="30"/>
        </w:rPr>
      </w:pPr>
      <w:bookmarkStart w:id="7" w:name="_Toc468724353"/>
      <w:bookmarkStart w:id="8" w:name="_Toc468951144"/>
      <w:r>
        <w:rPr>
          <w:rFonts w:hint="eastAsia" w:ascii="方正仿宋_GB2312" w:hAnsi="方正仿宋_GB2312" w:eastAsia="方正仿宋_GB2312" w:cs="方正仿宋_GB2312"/>
          <w:b/>
          <w:sz w:val="30"/>
          <w:szCs w:val="30"/>
        </w:rPr>
        <w:t>7.2、施工前的准备</w:t>
      </w:r>
      <w:bookmarkEnd w:id="7"/>
      <w:bookmarkEnd w:id="8"/>
    </w:p>
    <w:p w14:paraId="2AF36403">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有碍施工的建筑物、管、渠等应在施工前拆迁完毕。做好临时排水措施，以利于施工期间的积水排泄。</w:t>
      </w:r>
    </w:p>
    <w:p w14:paraId="56509E3B">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施工单位应根据设计文件，每一定距离按规范设置临时水准点一个，并复测平面和高程控制桩（按平面设计桩号布置），据此测出相应道路中心、路面宽度及纵横高程的样桩，控制桩测量精度应符合国家有关规范及规定。</w:t>
      </w:r>
    </w:p>
    <w:p w14:paraId="181337D2">
      <w:pPr>
        <w:spacing w:line="240" w:lineRule="atLeast"/>
        <w:outlineLvl w:val="1"/>
        <w:rPr>
          <w:rFonts w:hint="eastAsia" w:ascii="方正仿宋_GB2312" w:hAnsi="方正仿宋_GB2312" w:eastAsia="方正仿宋_GB2312" w:cs="方正仿宋_GB2312"/>
          <w:b/>
          <w:sz w:val="30"/>
          <w:szCs w:val="30"/>
        </w:rPr>
      </w:pPr>
      <w:bookmarkStart w:id="9" w:name="_Toc468724355"/>
      <w:bookmarkStart w:id="10" w:name="_Toc468951146"/>
      <w:r>
        <w:rPr>
          <w:rFonts w:hint="eastAsia" w:ascii="方正仿宋_GB2312" w:hAnsi="方正仿宋_GB2312" w:eastAsia="方正仿宋_GB2312" w:cs="方正仿宋_GB2312"/>
          <w:b/>
          <w:sz w:val="30"/>
          <w:szCs w:val="30"/>
        </w:rPr>
        <w:t>7.3、对施工的特殊要求或重要指标</w:t>
      </w:r>
      <w:bookmarkEnd w:id="9"/>
      <w:bookmarkEnd w:id="10"/>
    </w:p>
    <w:p w14:paraId="796C24F7">
      <w:pPr>
        <w:spacing w:line="360" w:lineRule="auto"/>
        <w:ind w:firstLine="600" w:firstLineChars="200"/>
        <w:rPr>
          <w:rFonts w:hint="eastAsia" w:ascii="方正仿宋_GB2312" w:hAnsi="方正仿宋_GB2312" w:eastAsia="方正仿宋_GB2312" w:cs="方正仿宋_GB2312"/>
          <w:b/>
          <w:sz w:val="30"/>
          <w:szCs w:val="30"/>
        </w:rPr>
      </w:pPr>
      <w:r>
        <w:rPr>
          <w:rFonts w:hint="eastAsia" w:ascii="方正仿宋_GB2312" w:hAnsi="方正仿宋_GB2312" w:eastAsia="方正仿宋_GB2312" w:cs="方正仿宋_GB2312"/>
          <w:spacing w:val="10"/>
          <w:sz w:val="28"/>
        </w:rPr>
        <w:t>1.</w:t>
      </w:r>
      <w:r>
        <w:rPr>
          <w:rFonts w:hint="eastAsia" w:ascii="方正仿宋_GB2312" w:hAnsi="方正仿宋_GB2312" w:eastAsia="方正仿宋_GB2312" w:cs="方正仿宋_GB2312"/>
          <w:spacing w:val="10"/>
          <w:sz w:val="28"/>
          <w:lang w:eastAsia="zh-CN"/>
        </w:rPr>
        <w:t>步道</w:t>
      </w:r>
      <w:r>
        <w:rPr>
          <w:rFonts w:hint="eastAsia" w:ascii="方正仿宋_GB2312" w:hAnsi="方正仿宋_GB2312" w:eastAsia="方正仿宋_GB2312" w:cs="方正仿宋_GB2312"/>
          <w:spacing w:val="10"/>
          <w:sz w:val="28"/>
        </w:rPr>
        <w:t>施工</w:t>
      </w:r>
    </w:p>
    <w:p w14:paraId="7B2887D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1</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 材质：天然青石板（石灰岩），色泽以青灰、浅青为主，色差自然、无明显杂色，质地坚硬、无裂纹、无风化层。</w:t>
      </w:r>
    </w:p>
    <w:p w14:paraId="1B0C96E3">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2</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 规格：不规则碎拼，最小边宽≥</w:t>
      </w:r>
      <w:r>
        <w:rPr>
          <w:rFonts w:hint="eastAsia" w:ascii="方正仿宋_GB2312" w:hAnsi="方正仿宋_GB2312" w:eastAsia="方正仿宋_GB2312" w:cs="方正仿宋_GB2312"/>
          <w:spacing w:val="10"/>
          <w:sz w:val="28"/>
          <w:lang w:val="en-US" w:eastAsia="zh-CN"/>
        </w:rPr>
        <w:t>6</w:t>
      </w:r>
      <w:r>
        <w:rPr>
          <w:rFonts w:hint="eastAsia" w:ascii="方正仿宋_GB2312" w:hAnsi="方正仿宋_GB2312" w:eastAsia="方正仿宋_GB2312" w:cs="方正仿宋_GB2312"/>
          <w:spacing w:val="10"/>
          <w:sz w:val="28"/>
        </w:rPr>
        <w:t>0mm；厚度30mm（统一厚度，误差≤±2mm）。</w:t>
      </w:r>
    </w:p>
    <w:p w14:paraId="214C505B">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3</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表面：荔枝面，摩擦系数≥0.6，防滑达标；边缘做轻微倒角，避免锐角崩边。</w:t>
      </w:r>
    </w:p>
    <w:p w14:paraId="083AC3C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4</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防护：铺贴前做六面防护（防污、抗泛碱、耐候），户外高湿/冻融区域优先选用渗透型防护剂。</w:t>
      </w:r>
    </w:p>
    <w:p w14:paraId="3BC9C75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5</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排版原则：无通缝、疏密均衡、大小穿插，避免条状、块状集中；转角、收边用整板切割收口，最小收边块≥1/3标准板。</w:t>
      </w:r>
    </w:p>
    <w:p w14:paraId="0619285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6</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 铺贴顺序：由基准线向两侧推进，先大面后边角；板块水平轻放，橡胶锤垫木垫板敲实，严禁直接敲击石板。</w:t>
      </w:r>
    </w:p>
    <w:p w14:paraId="1C010FA1">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7</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精度控制：2m靠尺检测，平整度≤3mm；相邻高差≤1mm；缝宽均匀，顺直自然。</w:t>
      </w:r>
    </w:p>
    <w:p w14:paraId="2D599FA6">
      <w:pPr>
        <w:spacing w:line="360" w:lineRule="auto"/>
        <w:ind w:firstLine="600" w:firstLineChars="200"/>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8</w:t>
      </w: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rPr>
        <w:t>排水设计：路面设1.5%–2%横坡</w:t>
      </w:r>
      <w:r>
        <w:rPr>
          <w:rFonts w:hint="eastAsia" w:ascii="方正仿宋_GB2312" w:hAnsi="方正仿宋_GB2312" w:eastAsia="方正仿宋_GB2312" w:cs="方正仿宋_GB2312"/>
          <w:spacing w:val="10"/>
          <w:sz w:val="28"/>
          <w:lang w:eastAsia="zh-CN"/>
        </w:rPr>
        <w:t>，无积水。</w:t>
      </w:r>
    </w:p>
    <w:p w14:paraId="22542536">
      <w:pPr>
        <w:spacing w:line="360" w:lineRule="auto"/>
        <w:ind w:firstLine="600" w:firstLineChars="200"/>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pacing w:val="10"/>
          <w:sz w:val="28"/>
          <w:lang w:val="en-US" w:eastAsia="zh-CN"/>
        </w:rPr>
        <w:t>2.</w:t>
      </w:r>
      <w:r>
        <w:rPr>
          <w:rFonts w:hint="eastAsia" w:ascii="方正仿宋_GB2312" w:hAnsi="方正仿宋_GB2312" w:eastAsia="方正仿宋_GB2312" w:cs="方正仿宋_GB2312"/>
          <w:spacing w:val="10"/>
          <w:sz w:val="28"/>
          <w:lang w:eastAsia="zh-CN"/>
        </w:rPr>
        <w:t>施工工艺要点</w:t>
      </w:r>
    </w:p>
    <w:p w14:paraId="6D0F42BE">
      <w:pPr>
        <w:spacing w:line="360" w:lineRule="auto"/>
        <w:ind w:firstLine="600" w:firstLineChars="200"/>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1</w:t>
      </w:r>
      <w:r>
        <w:rPr>
          <w:rFonts w:hint="eastAsia" w:ascii="方正仿宋_GB2312" w:hAnsi="方正仿宋_GB2312" w:eastAsia="方正仿宋_GB2312" w:cs="方正仿宋_GB2312"/>
          <w:spacing w:val="10"/>
          <w:sz w:val="28"/>
          <w:lang w:eastAsia="zh-CN"/>
        </w:rPr>
        <w:t>） 基层处理：素土夯实→碎石垫层碾压→混凝土基层振捣收平，养护≥7d。</w:t>
      </w:r>
    </w:p>
    <w:p w14:paraId="059F646A">
      <w:pPr>
        <w:spacing w:line="360" w:lineRule="auto"/>
        <w:ind w:firstLine="600" w:firstLineChars="200"/>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2</w:t>
      </w:r>
      <w:r>
        <w:rPr>
          <w:rFonts w:hint="eastAsia" w:ascii="方正仿宋_GB2312" w:hAnsi="方正仿宋_GB2312" w:eastAsia="方正仿宋_GB2312" w:cs="方正仿宋_GB2312"/>
          <w:spacing w:val="10"/>
          <w:sz w:val="28"/>
          <w:lang w:eastAsia="zh-CN"/>
        </w:rPr>
        <w:t>） 放线试拼：按标高与边线放线，现场干摆试拼，调整纹理与疏密，确认后再铺贴。</w:t>
      </w:r>
    </w:p>
    <w:p w14:paraId="61ADED15">
      <w:pPr>
        <w:spacing w:line="360" w:lineRule="auto"/>
        <w:ind w:firstLine="600" w:firstLineChars="200"/>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3</w:t>
      </w:r>
      <w:r>
        <w:rPr>
          <w:rFonts w:hint="eastAsia" w:ascii="方正仿宋_GB2312" w:hAnsi="方正仿宋_GB2312" w:eastAsia="方正仿宋_GB2312" w:cs="方正仿宋_GB2312"/>
          <w:spacing w:val="10"/>
          <w:sz w:val="28"/>
          <w:lang w:eastAsia="zh-CN"/>
        </w:rPr>
        <w:t>） 石板铺贴：背面清理湿润，满刮素水泥浆；结合层铺摊后及时铺贴，控制空鼓率≤3%。</w:t>
      </w:r>
    </w:p>
    <w:p w14:paraId="5E28782A">
      <w:pPr>
        <w:spacing w:line="360" w:lineRule="auto"/>
        <w:ind w:firstLine="600" w:firstLineChars="200"/>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4</w:t>
      </w:r>
      <w:r>
        <w:rPr>
          <w:rFonts w:hint="eastAsia" w:ascii="方正仿宋_GB2312" w:hAnsi="方正仿宋_GB2312" w:eastAsia="方正仿宋_GB2312" w:cs="方正仿宋_GB2312"/>
          <w:spacing w:val="10"/>
          <w:sz w:val="28"/>
          <w:lang w:eastAsia="zh-CN"/>
        </w:rPr>
        <w:t>） 填缝养护：勾缝剂/粗砂填实饱满，凹缝成型；初凝后清洁板面，洒水养护≥3d，禁止踩踏。</w:t>
      </w:r>
    </w:p>
    <w:p w14:paraId="1F991C55">
      <w:pPr>
        <w:spacing w:line="360" w:lineRule="auto"/>
        <w:ind w:firstLine="600" w:firstLineChars="200"/>
        <w:rPr>
          <w:rFonts w:hint="eastAsia" w:ascii="方正仿宋_GB2312" w:hAnsi="方正仿宋_GB2312" w:eastAsia="方正仿宋_GB2312" w:cs="方正仿宋_GB2312"/>
          <w:spacing w:val="10"/>
          <w:sz w:val="28"/>
          <w:lang w:eastAsia="zh-CN"/>
        </w:rPr>
      </w:pPr>
      <w:r>
        <w:rPr>
          <w:rFonts w:hint="eastAsia" w:ascii="方正仿宋_GB2312" w:hAnsi="方正仿宋_GB2312" w:eastAsia="方正仿宋_GB2312" w:cs="方正仿宋_GB2312"/>
          <w:spacing w:val="10"/>
          <w:sz w:val="28"/>
          <w:lang w:eastAsia="zh-CN"/>
        </w:rPr>
        <w:t>（</w:t>
      </w:r>
      <w:r>
        <w:rPr>
          <w:rFonts w:hint="eastAsia" w:ascii="方正仿宋_GB2312" w:hAnsi="方正仿宋_GB2312" w:eastAsia="方正仿宋_GB2312" w:cs="方正仿宋_GB2312"/>
          <w:spacing w:val="10"/>
          <w:sz w:val="28"/>
          <w:lang w:val="en-US" w:eastAsia="zh-CN"/>
        </w:rPr>
        <w:t>5</w:t>
      </w:r>
      <w:r>
        <w:rPr>
          <w:rFonts w:hint="eastAsia" w:ascii="方正仿宋_GB2312" w:hAnsi="方正仿宋_GB2312" w:eastAsia="方正仿宋_GB2312" w:cs="方正仿宋_GB2312"/>
          <w:spacing w:val="10"/>
          <w:sz w:val="28"/>
          <w:lang w:eastAsia="zh-CN"/>
        </w:rPr>
        <w:t>） 成品保护：铺贴完成7d内禁止通行，避免磕碰、污染。</w:t>
      </w:r>
    </w:p>
    <w:p w14:paraId="579DB9AD">
      <w:pPr>
        <w:spacing w:line="360" w:lineRule="auto"/>
        <w:ind w:firstLine="600" w:firstLineChars="200"/>
        <w:rPr>
          <w:rFonts w:hint="eastAsia" w:ascii="方正仿宋_GB2312" w:hAnsi="方正仿宋_GB2312" w:eastAsia="方正仿宋_GB2312" w:cs="方正仿宋_GB2312"/>
          <w:spacing w:val="10"/>
          <w:sz w:val="28"/>
        </w:rPr>
      </w:pPr>
      <w:bookmarkStart w:id="11" w:name="_Toc468724356"/>
      <w:bookmarkStart w:id="12" w:name="_Toc468951147"/>
      <w:r>
        <w:rPr>
          <w:rFonts w:hint="eastAsia" w:ascii="方正仿宋_GB2312" w:hAnsi="方正仿宋_GB2312" w:eastAsia="方正仿宋_GB2312" w:cs="方正仿宋_GB2312"/>
          <w:spacing w:val="10"/>
          <w:sz w:val="28"/>
          <w:lang w:val="en-US" w:eastAsia="zh-CN"/>
        </w:rPr>
        <w:t>3</w:t>
      </w:r>
      <w:r>
        <w:rPr>
          <w:rFonts w:hint="eastAsia" w:ascii="方正仿宋_GB2312" w:hAnsi="方正仿宋_GB2312" w:eastAsia="方正仿宋_GB2312" w:cs="方正仿宋_GB2312"/>
          <w:spacing w:val="10"/>
          <w:sz w:val="28"/>
        </w:rPr>
        <w:t>.路基施工</w:t>
      </w:r>
      <w:bookmarkEnd w:id="11"/>
      <w:bookmarkEnd w:id="12"/>
    </w:p>
    <w:p w14:paraId="58E90906">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（1）路基施工前应清除地表耕作土、草皮、树根、垃圾和杂填土等。</w:t>
      </w:r>
    </w:p>
    <w:p w14:paraId="7F0C0996">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路基回填应采用透水性及稳定性较好的土质，禁止采用淤泥、腐质土、膨胀土、垃圾等填筑路基，要求路基填料应满足《城市道路路基设计规范》(CJJ194-2013)表4.6.4的规定（见上表5-1），当不满足时应进行处治。施工应尽量避开雨季。</w:t>
      </w:r>
    </w:p>
    <w:p w14:paraId="0BD8BA9A">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（3）路基碾压时应水平分层碾压处理，每层摊铺厚度应与压实机具相适应，碾压之前应注意将填筑土料的含水量与最佳含水量控制在±2%范围内的。</w:t>
      </w:r>
    </w:p>
    <w:p w14:paraId="147B6A35">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4）道路沿线内如有局部软弱土，路基填筑前应将其清除或部分换填，夯实基底后方可进行填筑。沿线如有水坑、水沟等小范围地面不良结构，施工时应予清除换填。施工时如遇重大不良地质情况，应及时通知建设和设计单位、监理单位，由四方协商处理措施。</w:t>
      </w:r>
    </w:p>
    <w:p w14:paraId="5DA638F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（5）路槽底面土基回弹模量应≥20MPa。路基顶面交工验收弯沉值：LS=465.8。</w:t>
      </w:r>
    </w:p>
    <w:p w14:paraId="4CE3262E">
      <w:pPr>
        <w:spacing w:line="360" w:lineRule="auto"/>
        <w:ind w:firstLine="600" w:firstLineChars="200"/>
        <w:rPr>
          <w:rFonts w:hint="eastAsia" w:ascii="方正仿宋_GB2312" w:hAnsi="方正仿宋_GB2312" w:eastAsia="方正仿宋_GB2312" w:cs="方正仿宋_GB2312"/>
          <w:spacing w:val="10"/>
          <w:sz w:val="28"/>
        </w:rPr>
      </w:pPr>
      <w:bookmarkStart w:id="13" w:name="_Toc468724357"/>
      <w:bookmarkStart w:id="14" w:name="_Toc468951148"/>
      <w:r>
        <w:rPr>
          <w:rFonts w:hint="eastAsia" w:ascii="方正仿宋_GB2312" w:hAnsi="方正仿宋_GB2312" w:eastAsia="方正仿宋_GB2312" w:cs="方正仿宋_GB2312"/>
          <w:spacing w:val="10"/>
          <w:sz w:val="28"/>
        </w:rPr>
        <w:t>2.路基排水</w:t>
      </w:r>
      <w:bookmarkEnd w:id="13"/>
      <w:bookmarkEnd w:id="14"/>
    </w:p>
    <w:p w14:paraId="413C8821">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（1）施工期间应有效排除由于降水和附近地带流入路基的地面水及施工用水。</w:t>
      </w:r>
    </w:p>
    <w:p w14:paraId="4A3F3686">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（2）路基施工排水必须合理安排临时排水路线，充分利用沿线已有排水设施。</w:t>
      </w:r>
    </w:p>
    <w:p w14:paraId="761B9907">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（3）路基施工中，若地下水影响路基稳定时，应根据情况采取适当降水等措施予以疏导处理。</w:t>
      </w:r>
    </w:p>
    <w:p w14:paraId="1BCAA665">
      <w:pPr>
        <w:spacing w:line="360" w:lineRule="auto"/>
        <w:ind w:firstLine="600" w:firstLineChars="200"/>
        <w:rPr>
          <w:rFonts w:hint="eastAsia" w:ascii="方正仿宋_GB2312" w:hAnsi="方正仿宋_GB2312" w:eastAsia="方正仿宋_GB2312" w:cs="方正仿宋_GB2312"/>
          <w:spacing w:val="10"/>
          <w:sz w:val="28"/>
        </w:rPr>
      </w:pPr>
      <w:bookmarkStart w:id="15" w:name="_Toc468724358"/>
      <w:bookmarkStart w:id="16" w:name="_Toc468951149"/>
      <w:r>
        <w:rPr>
          <w:rFonts w:hint="eastAsia" w:ascii="方正仿宋_GB2312" w:hAnsi="方正仿宋_GB2312" w:eastAsia="方正仿宋_GB2312" w:cs="方正仿宋_GB2312"/>
          <w:spacing w:val="10"/>
          <w:sz w:val="28"/>
        </w:rPr>
        <w:t>3.路面面层、基层</w:t>
      </w:r>
      <w:bookmarkEnd w:id="15"/>
      <w:bookmarkEnd w:id="16"/>
    </w:p>
    <w:p w14:paraId="485E261D">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（一）水泥路面结构</w:t>
      </w:r>
    </w:p>
    <w:p w14:paraId="5EE913EE">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（1）水泥</w:t>
      </w:r>
    </w:p>
    <w:p w14:paraId="2EAE72CB">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水泥应采用硅酸盐水泥，面板水泥的28d龄期抗压强度应大于42.5MPa，抗折强度应大于</w:t>
      </w:r>
      <w:r>
        <w:rPr>
          <w:rFonts w:hint="eastAsia" w:ascii="方正仿宋_GB2312" w:hAnsi="方正仿宋_GB2312" w:eastAsia="方正仿宋_GB2312" w:cs="方正仿宋_GB2312"/>
          <w:spacing w:val="10"/>
          <w:sz w:val="28"/>
          <w:lang w:val="en-US" w:eastAsia="zh-CN"/>
        </w:rPr>
        <w:t>6</w:t>
      </w:r>
      <w:r>
        <w:rPr>
          <w:rFonts w:hint="eastAsia" w:ascii="方正仿宋_GB2312" w:hAnsi="方正仿宋_GB2312" w:eastAsia="方正仿宋_GB2312" w:cs="方正仿宋_GB2312"/>
          <w:spacing w:val="10"/>
          <w:sz w:val="28"/>
        </w:rPr>
        <w:t>.5MPa。</w:t>
      </w:r>
    </w:p>
    <w:p w14:paraId="7576ADB5">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（2）水泥砼粗集料</w:t>
      </w:r>
    </w:p>
    <w:p w14:paraId="64F30265">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粗集料应使用质地坚硬、耐久、洁净的碎石，并满足下表技术指标。</w:t>
      </w:r>
    </w:p>
    <w:p w14:paraId="59AFD074">
      <w:pPr>
        <w:spacing w:line="360" w:lineRule="auto"/>
        <w:ind w:firstLine="600" w:firstLineChars="200"/>
        <w:jc w:val="center"/>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表7-1粗集料技术指标</w:t>
      </w:r>
    </w:p>
    <w:tbl>
      <w:tblPr>
        <w:tblStyle w:val="32"/>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1"/>
        <w:gridCol w:w="2882"/>
        <w:gridCol w:w="1608"/>
      </w:tblGrid>
      <w:tr w14:paraId="559C2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4961" w:type="dxa"/>
            <w:shd w:val="clear" w:color="auto" w:fill="auto"/>
          </w:tcPr>
          <w:p w14:paraId="48DCE455">
            <w:pPr>
              <w:autoSpaceDE w:val="0"/>
              <w:autoSpaceDN w:val="0"/>
              <w:adjustRightInd w:val="0"/>
              <w:ind w:left="105" w:leftChars="50"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项目</w:t>
            </w:r>
          </w:p>
        </w:tc>
        <w:tc>
          <w:tcPr>
            <w:tcW w:w="2882" w:type="dxa"/>
            <w:shd w:val="clear" w:color="auto" w:fill="auto"/>
          </w:tcPr>
          <w:p w14:paraId="5D3063D3">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要求值</w:t>
            </w:r>
          </w:p>
        </w:tc>
        <w:tc>
          <w:tcPr>
            <w:tcW w:w="1608" w:type="dxa"/>
            <w:shd w:val="clear" w:color="auto" w:fill="auto"/>
          </w:tcPr>
          <w:p w14:paraId="2472726A">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备注</w:t>
            </w:r>
          </w:p>
        </w:tc>
      </w:tr>
      <w:tr w14:paraId="7265E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1" w:type="dxa"/>
            <w:shd w:val="clear" w:color="auto" w:fill="auto"/>
          </w:tcPr>
          <w:p w14:paraId="61BA3E8A">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碎石压碎值（％）</w:t>
            </w:r>
          </w:p>
        </w:tc>
        <w:tc>
          <w:tcPr>
            <w:tcW w:w="2882" w:type="dxa"/>
            <w:shd w:val="clear" w:color="auto" w:fill="auto"/>
          </w:tcPr>
          <w:p w14:paraId="40FE10F8">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&lt;15</w:t>
            </w:r>
          </w:p>
        </w:tc>
        <w:tc>
          <w:tcPr>
            <w:tcW w:w="1608" w:type="dxa"/>
            <w:shd w:val="clear" w:color="auto" w:fill="auto"/>
          </w:tcPr>
          <w:p w14:paraId="6DDDD5F4">
            <w:pPr>
              <w:autoSpaceDE w:val="0"/>
              <w:autoSpaceDN w:val="0"/>
              <w:adjustRightInd w:val="0"/>
              <w:ind w:firstLine="560"/>
              <w:rPr>
                <w:rFonts w:hint="eastAsia" w:ascii="方正仿宋_GB2312" w:hAnsi="方正仿宋_GB2312" w:eastAsia="方正仿宋_GB2312" w:cs="方正仿宋_GB2312"/>
                <w:kern w:val="0"/>
                <w:szCs w:val="21"/>
              </w:rPr>
            </w:pPr>
          </w:p>
        </w:tc>
      </w:tr>
      <w:tr w14:paraId="4B2A7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1" w:type="dxa"/>
            <w:shd w:val="clear" w:color="auto" w:fill="auto"/>
          </w:tcPr>
          <w:p w14:paraId="4A3591A6">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鹅卵石压碎值（％）</w:t>
            </w:r>
          </w:p>
        </w:tc>
        <w:tc>
          <w:tcPr>
            <w:tcW w:w="2882" w:type="dxa"/>
            <w:shd w:val="clear" w:color="auto" w:fill="auto"/>
          </w:tcPr>
          <w:p w14:paraId="04216CB1">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&lt;14</w:t>
            </w:r>
          </w:p>
        </w:tc>
        <w:tc>
          <w:tcPr>
            <w:tcW w:w="1608" w:type="dxa"/>
            <w:shd w:val="clear" w:color="auto" w:fill="auto"/>
          </w:tcPr>
          <w:p w14:paraId="11537E8C">
            <w:pPr>
              <w:autoSpaceDE w:val="0"/>
              <w:autoSpaceDN w:val="0"/>
              <w:adjustRightInd w:val="0"/>
              <w:ind w:firstLine="560"/>
              <w:rPr>
                <w:rFonts w:hint="eastAsia" w:ascii="方正仿宋_GB2312" w:hAnsi="方正仿宋_GB2312" w:eastAsia="方正仿宋_GB2312" w:cs="方正仿宋_GB2312"/>
                <w:kern w:val="0"/>
                <w:szCs w:val="21"/>
              </w:rPr>
            </w:pPr>
          </w:p>
        </w:tc>
      </w:tr>
      <w:tr w14:paraId="5D1CB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1" w:type="dxa"/>
            <w:shd w:val="clear" w:color="auto" w:fill="auto"/>
          </w:tcPr>
          <w:p w14:paraId="36F75654">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坚固性（按质量损失计％）</w:t>
            </w:r>
          </w:p>
        </w:tc>
        <w:tc>
          <w:tcPr>
            <w:tcW w:w="2882" w:type="dxa"/>
            <w:shd w:val="clear" w:color="auto" w:fill="auto"/>
          </w:tcPr>
          <w:p w14:paraId="49B7A836">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&lt;8</w:t>
            </w:r>
          </w:p>
        </w:tc>
        <w:tc>
          <w:tcPr>
            <w:tcW w:w="1608" w:type="dxa"/>
            <w:shd w:val="clear" w:color="auto" w:fill="auto"/>
          </w:tcPr>
          <w:p w14:paraId="25BCF556">
            <w:pPr>
              <w:autoSpaceDE w:val="0"/>
              <w:autoSpaceDN w:val="0"/>
              <w:adjustRightInd w:val="0"/>
              <w:ind w:firstLine="560"/>
              <w:rPr>
                <w:rFonts w:hint="eastAsia" w:ascii="方正仿宋_GB2312" w:hAnsi="方正仿宋_GB2312" w:eastAsia="方正仿宋_GB2312" w:cs="方正仿宋_GB2312"/>
                <w:kern w:val="0"/>
                <w:szCs w:val="21"/>
              </w:rPr>
            </w:pPr>
          </w:p>
        </w:tc>
      </w:tr>
      <w:tr w14:paraId="490E7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61" w:type="dxa"/>
            <w:shd w:val="clear" w:color="auto" w:fill="auto"/>
          </w:tcPr>
          <w:p w14:paraId="318A0AC0">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针片状颗粒含量（按质量计％）</w:t>
            </w:r>
          </w:p>
        </w:tc>
        <w:tc>
          <w:tcPr>
            <w:tcW w:w="2882" w:type="dxa"/>
            <w:shd w:val="clear" w:color="auto" w:fill="auto"/>
          </w:tcPr>
          <w:p w14:paraId="17CB47BC">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&lt;15</w:t>
            </w:r>
          </w:p>
        </w:tc>
        <w:tc>
          <w:tcPr>
            <w:tcW w:w="1608" w:type="dxa"/>
            <w:shd w:val="clear" w:color="auto" w:fill="auto"/>
          </w:tcPr>
          <w:p w14:paraId="6C8BC4EC">
            <w:pPr>
              <w:autoSpaceDE w:val="0"/>
              <w:autoSpaceDN w:val="0"/>
              <w:adjustRightInd w:val="0"/>
              <w:ind w:firstLine="560"/>
              <w:rPr>
                <w:rFonts w:hint="eastAsia" w:ascii="方正仿宋_GB2312" w:hAnsi="方正仿宋_GB2312" w:eastAsia="方正仿宋_GB2312" w:cs="方正仿宋_GB2312"/>
                <w:kern w:val="0"/>
                <w:szCs w:val="21"/>
              </w:rPr>
            </w:pPr>
          </w:p>
        </w:tc>
      </w:tr>
      <w:tr w14:paraId="7B5BF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61" w:type="dxa"/>
            <w:shd w:val="clear" w:color="auto" w:fill="auto"/>
          </w:tcPr>
          <w:p w14:paraId="4A4A2C40">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含泥量（按质量计％）</w:t>
            </w:r>
          </w:p>
        </w:tc>
        <w:tc>
          <w:tcPr>
            <w:tcW w:w="2882" w:type="dxa"/>
            <w:shd w:val="clear" w:color="auto" w:fill="auto"/>
          </w:tcPr>
          <w:p w14:paraId="1A90781B">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&lt;1.0</w:t>
            </w:r>
          </w:p>
        </w:tc>
        <w:tc>
          <w:tcPr>
            <w:tcW w:w="1608" w:type="dxa"/>
            <w:shd w:val="clear" w:color="auto" w:fill="auto"/>
          </w:tcPr>
          <w:p w14:paraId="335C6A04">
            <w:pPr>
              <w:autoSpaceDE w:val="0"/>
              <w:autoSpaceDN w:val="0"/>
              <w:adjustRightInd w:val="0"/>
              <w:ind w:firstLine="560"/>
              <w:rPr>
                <w:rFonts w:hint="eastAsia" w:ascii="方正仿宋_GB2312" w:hAnsi="方正仿宋_GB2312" w:eastAsia="方正仿宋_GB2312" w:cs="方正仿宋_GB2312"/>
                <w:kern w:val="0"/>
                <w:szCs w:val="21"/>
              </w:rPr>
            </w:pPr>
          </w:p>
        </w:tc>
      </w:tr>
      <w:tr w14:paraId="38B42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61" w:type="dxa"/>
            <w:shd w:val="clear" w:color="auto" w:fill="auto"/>
          </w:tcPr>
          <w:p w14:paraId="130062DC">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泥块含量（按质量计％）</w:t>
            </w:r>
          </w:p>
        </w:tc>
        <w:tc>
          <w:tcPr>
            <w:tcW w:w="2882" w:type="dxa"/>
            <w:shd w:val="clear" w:color="auto" w:fill="auto"/>
          </w:tcPr>
          <w:p w14:paraId="10DD4ACC">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&lt;0.2</w:t>
            </w:r>
          </w:p>
        </w:tc>
        <w:tc>
          <w:tcPr>
            <w:tcW w:w="1608" w:type="dxa"/>
            <w:shd w:val="clear" w:color="auto" w:fill="auto"/>
          </w:tcPr>
          <w:p w14:paraId="148B226B">
            <w:pPr>
              <w:autoSpaceDE w:val="0"/>
              <w:autoSpaceDN w:val="0"/>
              <w:adjustRightInd w:val="0"/>
              <w:ind w:firstLine="560"/>
              <w:rPr>
                <w:rFonts w:hint="eastAsia" w:ascii="方正仿宋_GB2312" w:hAnsi="方正仿宋_GB2312" w:eastAsia="方正仿宋_GB2312" w:cs="方正仿宋_GB2312"/>
                <w:kern w:val="0"/>
                <w:szCs w:val="21"/>
              </w:rPr>
            </w:pPr>
          </w:p>
        </w:tc>
      </w:tr>
      <w:tr w14:paraId="0DA89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61" w:type="dxa"/>
            <w:shd w:val="clear" w:color="auto" w:fill="auto"/>
          </w:tcPr>
          <w:p w14:paraId="713FD530">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有机物含量（比色法）</w:t>
            </w:r>
          </w:p>
        </w:tc>
        <w:tc>
          <w:tcPr>
            <w:tcW w:w="2882" w:type="dxa"/>
            <w:shd w:val="clear" w:color="auto" w:fill="auto"/>
          </w:tcPr>
          <w:p w14:paraId="38E2938A">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合格</w:t>
            </w:r>
          </w:p>
        </w:tc>
        <w:tc>
          <w:tcPr>
            <w:tcW w:w="1608" w:type="dxa"/>
            <w:shd w:val="clear" w:color="auto" w:fill="auto"/>
          </w:tcPr>
          <w:p w14:paraId="6742EDC5">
            <w:pPr>
              <w:autoSpaceDE w:val="0"/>
              <w:autoSpaceDN w:val="0"/>
              <w:adjustRightInd w:val="0"/>
              <w:ind w:firstLine="560"/>
              <w:rPr>
                <w:rFonts w:hint="eastAsia" w:ascii="方正仿宋_GB2312" w:hAnsi="方正仿宋_GB2312" w:eastAsia="方正仿宋_GB2312" w:cs="方正仿宋_GB2312"/>
                <w:kern w:val="0"/>
                <w:szCs w:val="21"/>
              </w:rPr>
            </w:pPr>
          </w:p>
        </w:tc>
      </w:tr>
      <w:tr w14:paraId="3DABD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61" w:type="dxa"/>
            <w:shd w:val="clear" w:color="auto" w:fill="auto"/>
          </w:tcPr>
          <w:p w14:paraId="18306521">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硫化物及硫酸盐（按SO</w:t>
            </w:r>
            <w:r>
              <w:rPr>
                <w:rFonts w:hint="eastAsia" w:ascii="方正仿宋_GB2312" w:hAnsi="方正仿宋_GB2312" w:eastAsia="方正仿宋_GB2312" w:cs="方正仿宋_GB2312"/>
                <w:kern w:val="0"/>
                <w:szCs w:val="21"/>
                <w:vertAlign w:val="subscript"/>
              </w:rPr>
              <w:t>3</w:t>
            </w:r>
            <w:r>
              <w:rPr>
                <w:rFonts w:hint="eastAsia" w:ascii="方正仿宋_GB2312" w:hAnsi="方正仿宋_GB2312" w:eastAsia="方正仿宋_GB2312" w:cs="方正仿宋_GB2312"/>
                <w:kern w:val="0"/>
                <w:szCs w:val="21"/>
              </w:rPr>
              <w:t>质量计％）</w:t>
            </w:r>
          </w:p>
        </w:tc>
        <w:tc>
          <w:tcPr>
            <w:tcW w:w="2882" w:type="dxa"/>
            <w:shd w:val="clear" w:color="auto" w:fill="auto"/>
          </w:tcPr>
          <w:p w14:paraId="13A46B39">
            <w:pPr>
              <w:autoSpaceDE w:val="0"/>
              <w:autoSpaceDN w:val="0"/>
              <w:adjustRightInd w:val="0"/>
              <w:ind w:firstLine="56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&lt;1.0</w:t>
            </w:r>
          </w:p>
        </w:tc>
        <w:tc>
          <w:tcPr>
            <w:tcW w:w="1608" w:type="dxa"/>
            <w:shd w:val="clear" w:color="auto" w:fill="auto"/>
          </w:tcPr>
          <w:p w14:paraId="25B22115">
            <w:pPr>
              <w:autoSpaceDE w:val="0"/>
              <w:autoSpaceDN w:val="0"/>
              <w:adjustRightInd w:val="0"/>
              <w:ind w:firstLine="560"/>
              <w:rPr>
                <w:rFonts w:hint="eastAsia" w:ascii="方正仿宋_GB2312" w:hAnsi="方正仿宋_GB2312" w:eastAsia="方正仿宋_GB2312" w:cs="方正仿宋_GB2312"/>
                <w:kern w:val="0"/>
                <w:szCs w:val="21"/>
              </w:rPr>
            </w:pPr>
          </w:p>
        </w:tc>
      </w:tr>
      <w:tr w14:paraId="0A671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61" w:type="dxa"/>
            <w:shd w:val="clear" w:color="auto" w:fill="auto"/>
            <w:vAlign w:val="center"/>
          </w:tcPr>
          <w:p w14:paraId="0597AC18">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岩石抗压强度</w:t>
            </w:r>
          </w:p>
        </w:tc>
        <w:tc>
          <w:tcPr>
            <w:tcW w:w="2882" w:type="dxa"/>
            <w:shd w:val="clear" w:color="auto" w:fill="auto"/>
          </w:tcPr>
          <w:p w14:paraId="26B1D010">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火成岩不小于100MPa，变质岩不小于80MPa，水成岩不小于60MPa</w:t>
            </w:r>
          </w:p>
        </w:tc>
        <w:tc>
          <w:tcPr>
            <w:tcW w:w="1608" w:type="dxa"/>
            <w:shd w:val="clear" w:color="auto" w:fill="auto"/>
          </w:tcPr>
          <w:p w14:paraId="0E87CA43">
            <w:pPr>
              <w:autoSpaceDE w:val="0"/>
              <w:autoSpaceDN w:val="0"/>
              <w:adjustRightInd w:val="0"/>
              <w:ind w:firstLine="560"/>
              <w:rPr>
                <w:rFonts w:hint="eastAsia" w:ascii="方正仿宋_GB2312" w:hAnsi="方正仿宋_GB2312" w:eastAsia="方正仿宋_GB2312" w:cs="方正仿宋_GB2312"/>
                <w:kern w:val="0"/>
                <w:szCs w:val="21"/>
              </w:rPr>
            </w:pPr>
          </w:p>
        </w:tc>
      </w:tr>
    </w:tbl>
    <w:p w14:paraId="2F9019DE">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粗集料应满足下表的级配范围。</w:t>
      </w:r>
    </w:p>
    <w:p w14:paraId="463D3343">
      <w:pPr>
        <w:pStyle w:val="195"/>
        <w:spacing w:line="360" w:lineRule="auto"/>
        <w:ind w:firstLine="560"/>
        <w:jc w:val="center"/>
        <w:rPr>
          <w:rFonts w:hint="eastAsia" w:ascii="方正仿宋_GB2312" w:hAnsi="方正仿宋_GB2312" w:eastAsia="方正仿宋_GB2312" w:cs="方正仿宋_GB2312"/>
          <w:szCs w:val="28"/>
          <w:lang w:bidi="en-US"/>
        </w:rPr>
      </w:pPr>
      <w:r>
        <w:rPr>
          <w:rFonts w:hint="eastAsia" w:ascii="方正仿宋_GB2312" w:hAnsi="方正仿宋_GB2312" w:eastAsia="方正仿宋_GB2312" w:cs="方正仿宋_GB2312"/>
          <w:szCs w:val="28"/>
          <w:lang w:bidi="en-US"/>
        </w:rPr>
        <w:tab/>
      </w:r>
      <w:r>
        <w:rPr>
          <w:rFonts w:hint="eastAsia" w:ascii="方正仿宋_GB2312" w:hAnsi="方正仿宋_GB2312" w:eastAsia="方正仿宋_GB2312" w:cs="方正仿宋_GB2312"/>
          <w:szCs w:val="28"/>
          <w:lang w:bidi="en-US"/>
        </w:rPr>
        <w:t>表7-2粗级料级配范围</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1061"/>
        <w:gridCol w:w="1066"/>
        <w:gridCol w:w="951"/>
        <w:gridCol w:w="1026"/>
        <w:gridCol w:w="1026"/>
        <w:gridCol w:w="1026"/>
        <w:gridCol w:w="1026"/>
        <w:gridCol w:w="852"/>
      </w:tblGrid>
      <w:tr w14:paraId="3B3B0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2268" w:type="dxa"/>
            <w:shd w:val="clear" w:color="auto" w:fill="auto"/>
          </w:tcPr>
          <w:p w14:paraId="34E47479">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粒径（mm）</w:t>
            </w:r>
          </w:p>
        </w:tc>
        <w:tc>
          <w:tcPr>
            <w:tcW w:w="1061" w:type="dxa"/>
            <w:shd w:val="clear" w:color="auto" w:fill="auto"/>
          </w:tcPr>
          <w:p w14:paraId="3B550559">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2.36</w:t>
            </w:r>
          </w:p>
        </w:tc>
        <w:tc>
          <w:tcPr>
            <w:tcW w:w="1066" w:type="dxa"/>
            <w:shd w:val="clear" w:color="auto" w:fill="auto"/>
          </w:tcPr>
          <w:p w14:paraId="47BAF46F">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4.75</w:t>
            </w:r>
          </w:p>
        </w:tc>
        <w:tc>
          <w:tcPr>
            <w:tcW w:w="951" w:type="dxa"/>
            <w:shd w:val="clear" w:color="auto" w:fill="auto"/>
          </w:tcPr>
          <w:p w14:paraId="6A401CA4">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9.5</w:t>
            </w:r>
          </w:p>
        </w:tc>
        <w:tc>
          <w:tcPr>
            <w:tcW w:w="1026" w:type="dxa"/>
            <w:shd w:val="clear" w:color="auto" w:fill="auto"/>
          </w:tcPr>
          <w:p w14:paraId="3897A302">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16.0</w:t>
            </w:r>
          </w:p>
        </w:tc>
        <w:tc>
          <w:tcPr>
            <w:tcW w:w="1026" w:type="dxa"/>
            <w:shd w:val="clear" w:color="auto" w:fill="auto"/>
          </w:tcPr>
          <w:p w14:paraId="2C555EFE">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19.0</w:t>
            </w:r>
          </w:p>
        </w:tc>
        <w:tc>
          <w:tcPr>
            <w:tcW w:w="1026" w:type="dxa"/>
            <w:shd w:val="clear" w:color="auto" w:fill="auto"/>
          </w:tcPr>
          <w:p w14:paraId="6229F2E3">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26.5</w:t>
            </w:r>
          </w:p>
        </w:tc>
        <w:tc>
          <w:tcPr>
            <w:tcW w:w="1026" w:type="dxa"/>
            <w:shd w:val="clear" w:color="auto" w:fill="auto"/>
          </w:tcPr>
          <w:p w14:paraId="7E57ECA4">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31.5</w:t>
            </w:r>
          </w:p>
        </w:tc>
        <w:tc>
          <w:tcPr>
            <w:tcW w:w="852" w:type="dxa"/>
            <w:shd w:val="clear" w:color="auto" w:fill="auto"/>
          </w:tcPr>
          <w:p w14:paraId="0E1E4B4A">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37.5</w:t>
            </w:r>
          </w:p>
        </w:tc>
      </w:tr>
      <w:tr w14:paraId="401FE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2268" w:type="dxa"/>
            <w:shd w:val="clear" w:color="auto" w:fill="auto"/>
          </w:tcPr>
          <w:p w14:paraId="6241E756">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累计筛余（％）</w:t>
            </w:r>
          </w:p>
        </w:tc>
        <w:tc>
          <w:tcPr>
            <w:tcW w:w="1061" w:type="dxa"/>
            <w:shd w:val="clear" w:color="auto" w:fill="auto"/>
          </w:tcPr>
          <w:p w14:paraId="1554A83C">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95-100</w:t>
            </w:r>
          </w:p>
        </w:tc>
        <w:tc>
          <w:tcPr>
            <w:tcW w:w="1066" w:type="dxa"/>
            <w:shd w:val="clear" w:color="auto" w:fill="auto"/>
          </w:tcPr>
          <w:p w14:paraId="6BC6BF0A">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90-100</w:t>
            </w:r>
          </w:p>
        </w:tc>
        <w:tc>
          <w:tcPr>
            <w:tcW w:w="951" w:type="dxa"/>
            <w:shd w:val="clear" w:color="auto" w:fill="auto"/>
          </w:tcPr>
          <w:p w14:paraId="429BDA25">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75-90</w:t>
            </w:r>
          </w:p>
        </w:tc>
        <w:tc>
          <w:tcPr>
            <w:tcW w:w="1026" w:type="dxa"/>
            <w:shd w:val="clear" w:color="auto" w:fill="auto"/>
          </w:tcPr>
          <w:p w14:paraId="700C8C7D">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60-75</w:t>
            </w:r>
          </w:p>
        </w:tc>
        <w:tc>
          <w:tcPr>
            <w:tcW w:w="1026" w:type="dxa"/>
            <w:shd w:val="clear" w:color="auto" w:fill="auto"/>
          </w:tcPr>
          <w:p w14:paraId="2C768974">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40-60</w:t>
            </w:r>
          </w:p>
        </w:tc>
        <w:tc>
          <w:tcPr>
            <w:tcW w:w="1026" w:type="dxa"/>
            <w:shd w:val="clear" w:color="auto" w:fill="auto"/>
          </w:tcPr>
          <w:p w14:paraId="5A83EC4C">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20-35</w:t>
            </w:r>
          </w:p>
        </w:tc>
        <w:tc>
          <w:tcPr>
            <w:tcW w:w="1026" w:type="dxa"/>
            <w:shd w:val="clear" w:color="auto" w:fill="auto"/>
          </w:tcPr>
          <w:p w14:paraId="120D128D">
            <w:pPr>
              <w:autoSpaceDE w:val="0"/>
              <w:autoSpaceDN w:val="0"/>
              <w:adjustRightInd w:val="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0-5</w:t>
            </w:r>
          </w:p>
        </w:tc>
        <w:tc>
          <w:tcPr>
            <w:tcW w:w="852" w:type="dxa"/>
            <w:shd w:val="clear" w:color="auto" w:fill="auto"/>
          </w:tcPr>
          <w:p w14:paraId="1A8D7721">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0</w:t>
            </w:r>
          </w:p>
        </w:tc>
      </w:tr>
    </w:tbl>
    <w:p w14:paraId="21F5E6C6">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（3）水泥砼细集料</w:t>
      </w:r>
    </w:p>
    <w:p w14:paraId="71A30F32">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细集料应使用质地坚硬、耐久、洁净的天然石、机制砂或混合砂，并满足下表技术指标。</w:t>
      </w:r>
    </w:p>
    <w:p w14:paraId="178AE621">
      <w:pPr>
        <w:pStyle w:val="195"/>
        <w:spacing w:line="360" w:lineRule="auto"/>
        <w:ind w:firstLine="560"/>
        <w:jc w:val="center"/>
        <w:rPr>
          <w:rFonts w:hint="eastAsia" w:ascii="方正仿宋_GB2312" w:hAnsi="方正仿宋_GB2312" w:eastAsia="方正仿宋_GB2312" w:cs="方正仿宋_GB2312"/>
          <w:szCs w:val="28"/>
          <w:lang w:bidi="en-US"/>
        </w:rPr>
      </w:pPr>
      <w:r>
        <w:rPr>
          <w:rFonts w:hint="eastAsia" w:ascii="方正仿宋_GB2312" w:hAnsi="方正仿宋_GB2312" w:eastAsia="方正仿宋_GB2312" w:cs="方正仿宋_GB2312"/>
          <w:szCs w:val="28"/>
          <w:lang w:bidi="en-US"/>
        </w:rPr>
        <w:t>表7-3细集料技术指标</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56"/>
        <w:gridCol w:w="2580"/>
        <w:gridCol w:w="1601"/>
      </w:tblGrid>
      <w:tr w14:paraId="0BAE4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5813" w:type="dxa"/>
            <w:shd w:val="clear" w:color="auto" w:fill="auto"/>
          </w:tcPr>
          <w:p w14:paraId="46AB484B">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项目</w:t>
            </w:r>
          </w:p>
        </w:tc>
        <w:tc>
          <w:tcPr>
            <w:tcW w:w="2598" w:type="dxa"/>
            <w:shd w:val="clear" w:color="auto" w:fill="auto"/>
          </w:tcPr>
          <w:p w14:paraId="340149F3">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要求值</w:t>
            </w:r>
          </w:p>
        </w:tc>
        <w:tc>
          <w:tcPr>
            <w:tcW w:w="1608" w:type="dxa"/>
            <w:shd w:val="clear" w:color="auto" w:fill="auto"/>
          </w:tcPr>
          <w:p w14:paraId="307ECDEA">
            <w:pPr>
              <w:autoSpaceDE w:val="0"/>
              <w:autoSpaceDN w:val="0"/>
              <w:adjustRightInd w:val="0"/>
              <w:ind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备注</w:t>
            </w:r>
          </w:p>
        </w:tc>
      </w:tr>
      <w:tr w14:paraId="4862E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38D8146F">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机制砂单粒径最大压碎值（％）</w:t>
            </w:r>
          </w:p>
        </w:tc>
        <w:tc>
          <w:tcPr>
            <w:tcW w:w="2598" w:type="dxa"/>
            <w:shd w:val="clear" w:color="auto" w:fill="auto"/>
          </w:tcPr>
          <w:p w14:paraId="5494A62A">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&lt;25</w:t>
            </w:r>
          </w:p>
        </w:tc>
        <w:tc>
          <w:tcPr>
            <w:tcW w:w="1608" w:type="dxa"/>
            <w:shd w:val="clear" w:color="auto" w:fill="auto"/>
          </w:tcPr>
          <w:p w14:paraId="65B769CE">
            <w:pPr>
              <w:autoSpaceDE w:val="0"/>
              <w:autoSpaceDN w:val="0"/>
              <w:adjustRightInd w:val="0"/>
              <w:ind w:firstLine="560"/>
              <w:rPr>
                <w:rFonts w:hint="eastAsia" w:ascii="方正仿宋_GB2312" w:hAnsi="方正仿宋_GB2312" w:eastAsia="方正仿宋_GB2312" w:cs="方正仿宋_GB2312"/>
                <w:kern w:val="0"/>
                <w:szCs w:val="21"/>
              </w:rPr>
            </w:pPr>
          </w:p>
        </w:tc>
      </w:tr>
      <w:tr w14:paraId="432D7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15631610">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氯化物（氯离子质量计％）</w:t>
            </w:r>
          </w:p>
        </w:tc>
        <w:tc>
          <w:tcPr>
            <w:tcW w:w="2598" w:type="dxa"/>
            <w:shd w:val="clear" w:color="auto" w:fill="auto"/>
          </w:tcPr>
          <w:p w14:paraId="155229F3">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&lt;0.02</w:t>
            </w:r>
          </w:p>
        </w:tc>
        <w:tc>
          <w:tcPr>
            <w:tcW w:w="1608" w:type="dxa"/>
            <w:shd w:val="clear" w:color="auto" w:fill="auto"/>
          </w:tcPr>
          <w:p w14:paraId="0C20035B">
            <w:pPr>
              <w:autoSpaceDE w:val="0"/>
              <w:autoSpaceDN w:val="0"/>
              <w:adjustRightInd w:val="0"/>
              <w:ind w:firstLine="560"/>
              <w:rPr>
                <w:rFonts w:hint="eastAsia" w:ascii="方正仿宋_GB2312" w:hAnsi="方正仿宋_GB2312" w:eastAsia="方正仿宋_GB2312" w:cs="方正仿宋_GB2312"/>
                <w:kern w:val="0"/>
                <w:szCs w:val="21"/>
              </w:rPr>
            </w:pPr>
          </w:p>
        </w:tc>
      </w:tr>
      <w:tr w14:paraId="3C645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42318289">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坚固性（按质量损失计％）</w:t>
            </w:r>
          </w:p>
        </w:tc>
        <w:tc>
          <w:tcPr>
            <w:tcW w:w="2598" w:type="dxa"/>
            <w:shd w:val="clear" w:color="auto" w:fill="auto"/>
          </w:tcPr>
          <w:p w14:paraId="006992FF">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&lt;8</w:t>
            </w:r>
          </w:p>
        </w:tc>
        <w:tc>
          <w:tcPr>
            <w:tcW w:w="1608" w:type="dxa"/>
            <w:shd w:val="clear" w:color="auto" w:fill="auto"/>
          </w:tcPr>
          <w:p w14:paraId="6D38F037">
            <w:pPr>
              <w:autoSpaceDE w:val="0"/>
              <w:autoSpaceDN w:val="0"/>
              <w:adjustRightInd w:val="0"/>
              <w:ind w:firstLine="560"/>
              <w:rPr>
                <w:rFonts w:hint="eastAsia" w:ascii="方正仿宋_GB2312" w:hAnsi="方正仿宋_GB2312" w:eastAsia="方正仿宋_GB2312" w:cs="方正仿宋_GB2312"/>
                <w:kern w:val="0"/>
                <w:szCs w:val="21"/>
              </w:rPr>
            </w:pPr>
          </w:p>
        </w:tc>
      </w:tr>
      <w:tr w14:paraId="5B87C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701B2CB6">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云母（按质量计％）</w:t>
            </w:r>
          </w:p>
        </w:tc>
        <w:tc>
          <w:tcPr>
            <w:tcW w:w="2598" w:type="dxa"/>
            <w:shd w:val="clear" w:color="auto" w:fill="auto"/>
          </w:tcPr>
          <w:p w14:paraId="5D8F44CA">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&lt;2.0</w:t>
            </w:r>
          </w:p>
        </w:tc>
        <w:tc>
          <w:tcPr>
            <w:tcW w:w="1608" w:type="dxa"/>
            <w:shd w:val="clear" w:color="auto" w:fill="auto"/>
          </w:tcPr>
          <w:p w14:paraId="5C4EF131">
            <w:pPr>
              <w:autoSpaceDE w:val="0"/>
              <w:autoSpaceDN w:val="0"/>
              <w:adjustRightInd w:val="0"/>
              <w:ind w:firstLine="560"/>
              <w:rPr>
                <w:rFonts w:hint="eastAsia" w:ascii="方正仿宋_GB2312" w:hAnsi="方正仿宋_GB2312" w:eastAsia="方正仿宋_GB2312" w:cs="方正仿宋_GB2312"/>
                <w:kern w:val="0"/>
                <w:szCs w:val="21"/>
              </w:rPr>
            </w:pPr>
          </w:p>
        </w:tc>
      </w:tr>
      <w:tr w14:paraId="5EF9E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0435EDE6">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天然砂、机制砂含泥量（按质量计％）</w:t>
            </w:r>
          </w:p>
        </w:tc>
        <w:tc>
          <w:tcPr>
            <w:tcW w:w="2598" w:type="dxa"/>
            <w:shd w:val="clear" w:color="auto" w:fill="auto"/>
          </w:tcPr>
          <w:p w14:paraId="23F434D2">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&lt;2.0</w:t>
            </w:r>
          </w:p>
        </w:tc>
        <w:tc>
          <w:tcPr>
            <w:tcW w:w="1608" w:type="dxa"/>
            <w:shd w:val="clear" w:color="auto" w:fill="auto"/>
          </w:tcPr>
          <w:p w14:paraId="6A9B32D4">
            <w:pPr>
              <w:autoSpaceDE w:val="0"/>
              <w:autoSpaceDN w:val="0"/>
              <w:adjustRightInd w:val="0"/>
              <w:ind w:firstLine="560"/>
              <w:rPr>
                <w:rFonts w:hint="eastAsia" w:ascii="方正仿宋_GB2312" w:hAnsi="方正仿宋_GB2312" w:eastAsia="方正仿宋_GB2312" w:cs="方正仿宋_GB2312"/>
                <w:kern w:val="0"/>
                <w:szCs w:val="21"/>
              </w:rPr>
            </w:pPr>
          </w:p>
        </w:tc>
      </w:tr>
      <w:tr w14:paraId="44A7C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342D3699">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天然砂、机制砂泥块含量（按质量计％）</w:t>
            </w:r>
          </w:p>
        </w:tc>
        <w:tc>
          <w:tcPr>
            <w:tcW w:w="2598" w:type="dxa"/>
            <w:shd w:val="clear" w:color="auto" w:fill="auto"/>
          </w:tcPr>
          <w:p w14:paraId="45944953">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&lt;1.0</w:t>
            </w:r>
          </w:p>
        </w:tc>
        <w:tc>
          <w:tcPr>
            <w:tcW w:w="1608" w:type="dxa"/>
            <w:shd w:val="clear" w:color="auto" w:fill="auto"/>
          </w:tcPr>
          <w:p w14:paraId="64CDC267">
            <w:pPr>
              <w:autoSpaceDE w:val="0"/>
              <w:autoSpaceDN w:val="0"/>
              <w:adjustRightInd w:val="0"/>
              <w:ind w:firstLine="560"/>
              <w:rPr>
                <w:rFonts w:hint="eastAsia" w:ascii="方正仿宋_GB2312" w:hAnsi="方正仿宋_GB2312" w:eastAsia="方正仿宋_GB2312" w:cs="方正仿宋_GB2312"/>
                <w:kern w:val="0"/>
                <w:szCs w:val="21"/>
              </w:rPr>
            </w:pPr>
          </w:p>
        </w:tc>
      </w:tr>
      <w:tr w14:paraId="7F6F3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748A1AAB">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有机物含量（比色法）</w:t>
            </w:r>
          </w:p>
        </w:tc>
        <w:tc>
          <w:tcPr>
            <w:tcW w:w="2598" w:type="dxa"/>
            <w:shd w:val="clear" w:color="auto" w:fill="auto"/>
          </w:tcPr>
          <w:p w14:paraId="712E147E">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合格</w:t>
            </w:r>
          </w:p>
        </w:tc>
        <w:tc>
          <w:tcPr>
            <w:tcW w:w="1608" w:type="dxa"/>
            <w:shd w:val="clear" w:color="auto" w:fill="auto"/>
          </w:tcPr>
          <w:p w14:paraId="0FD52814">
            <w:pPr>
              <w:autoSpaceDE w:val="0"/>
              <w:autoSpaceDN w:val="0"/>
              <w:adjustRightInd w:val="0"/>
              <w:ind w:firstLine="560"/>
              <w:rPr>
                <w:rFonts w:hint="eastAsia" w:ascii="方正仿宋_GB2312" w:hAnsi="方正仿宋_GB2312" w:eastAsia="方正仿宋_GB2312" w:cs="方正仿宋_GB2312"/>
                <w:kern w:val="0"/>
                <w:szCs w:val="21"/>
              </w:rPr>
            </w:pPr>
          </w:p>
        </w:tc>
      </w:tr>
      <w:tr w14:paraId="25DCB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tcPr>
          <w:p w14:paraId="687564F8">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硫化物及硫酸盐（按SO</w:t>
            </w:r>
            <w:r>
              <w:rPr>
                <w:rFonts w:hint="eastAsia" w:ascii="方正仿宋_GB2312" w:hAnsi="方正仿宋_GB2312" w:eastAsia="方正仿宋_GB2312" w:cs="方正仿宋_GB2312"/>
                <w:kern w:val="0"/>
                <w:szCs w:val="21"/>
                <w:vertAlign w:val="subscript"/>
              </w:rPr>
              <w:t>3</w:t>
            </w:r>
            <w:r>
              <w:rPr>
                <w:rFonts w:hint="eastAsia" w:ascii="方正仿宋_GB2312" w:hAnsi="方正仿宋_GB2312" w:eastAsia="方正仿宋_GB2312" w:cs="方正仿宋_GB2312"/>
                <w:kern w:val="0"/>
                <w:szCs w:val="21"/>
              </w:rPr>
              <w:t>质量计％）</w:t>
            </w:r>
          </w:p>
        </w:tc>
        <w:tc>
          <w:tcPr>
            <w:tcW w:w="2598" w:type="dxa"/>
            <w:shd w:val="clear" w:color="auto" w:fill="auto"/>
          </w:tcPr>
          <w:p w14:paraId="7AAF7933">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&lt;0.5</w:t>
            </w:r>
          </w:p>
        </w:tc>
        <w:tc>
          <w:tcPr>
            <w:tcW w:w="1608" w:type="dxa"/>
            <w:shd w:val="clear" w:color="auto" w:fill="auto"/>
          </w:tcPr>
          <w:p w14:paraId="38C98413">
            <w:pPr>
              <w:autoSpaceDE w:val="0"/>
              <w:autoSpaceDN w:val="0"/>
              <w:adjustRightInd w:val="0"/>
              <w:ind w:firstLine="560"/>
              <w:rPr>
                <w:rFonts w:hint="eastAsia" w:ascii="方正仿宋_GB2312" w:hAnsi="方正仿宋_GB2312" w:eastAsia="方正仿宋_GB2312" w:cs="方正仿宋_GB2312"/>
                <w:kern w:val="0"/>
                <w:szCs w:val="21"/>
              </w:rPr>
            </w:pPr>
          </w:p>
        </w:tc>
      </w:tr>
      <w:tr w14:paraId="46CEC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vAlign w:val="center"/>
          </w:tcPr>
          <w:p w14:paraId="1EAA850A">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轻物质（按质量计％）</w:t>
            </w:r>
          </w:p>
        </w:tc>
        <w:tc>
          <w:tcPr>
            <w:tcW w:w="2598" w:type="dxa"/>
            <w:shd w:val="clear" w:color="auto" w:fill="auto"/>
          </w:tcPr>
          <w:p w14:paraId="0EBE9D70">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&lt;1.0</w:t>
            </w:r>
          </w:p>
        </w:tc>
        <w:tc>
          <w:tcPr>
            <w:tcW w:w="1608" w:type="dxa"/>
            <w:shd w:val="clear" w:color="auto" w:fill="auto"/>
          </w:tcPr>
          <w:p w14:paraId="41AA8C22">
            <w:pPr>
              <w:autoSpaceDE w:val="0"/>
              <w:autoSpaceDN w:val="0"/>
              <w:adjustRightInd w:val="0"/>
              <w:ind w:firstLine="560"/>
              <w:rPr>
                <w:rFonts w:hint="eastAsia" w:ascii="方正仿宋_GB2312" w:hAnsi="方正仿宋_GB2312" w:eastAsia="方正仿宋_GB2312" w:cs="方正仿宋_GB2312"/>
                <w:kern w:val="0"/>
                <w:szCs w:val="21"/>
              </w:rPr>
            </w:pPr>
          </w:p>
        </w:tc>
      </w:tr>
      <w:tr w14:paraId="5BB66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vAlign w:val="center"/>
          </w:tcPr>
          <w:p w14:paraId="04F194B0">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机制砂母岩抗压强度</w:t>
            </w:r>
          </w:p>
        </w:tc>
        <w:tc>
          <w:tcPr>
            <w:tcW w:w="2598" w:type="dxa"/>
            <w:shd w:val="clear" w:color="auto" w:fill="auto"/>
          </w:tcPr>
          <w:p w14:paraId="42E1C847">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火成岩不小于100MPa，变质岩不小于80MPa，水成岩不小于60MPa</w:t>
            </w:r>
          </w:p>
        </w:tc>
        <w:tc>
          <w:tcPr>
            <w:tcW w:w="1608" w:type="dxa"/>
            <w:shd w:val="clear" w:color="auto" w:fill="auto"/>
          </w:tcPr>
          <w:p w14:paraId="6ACD294D">
            <w:pPr>
              <w:autoSpaceDE w:val="0"/>
              <w:autoSpaceDN w:val="0"/>
              <w:adjustRightInd w:val="0"/>
              <w:ind w:firstLine="560"/>
              <w:rPr>
                <w:rFonts w:hint="eastAsia" w:ascii="方正仿宋_GB2312" w:hAnsi="方正仿宋_GB2312" w:eastAsia="方正仿宋_GB2312" w:cs="方正仿宋_GB2312"/>
                <w:kern w:val="0"/>
                <w:szCs w:val="21"/>
              </w:rPr>
            </w:pPr>
          </w:p>
        </w:tc>
      </w:tr>
      <w:tr w14:paraId="79EBA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13" w:type="dxa"/>
            <w:shd w:val="clear" w:color="auto" w:fill="auto"/>
            <w:vAlign w:val="center"/>
          </w:tcPr>
          <w:p w14:paraId="7F07F7C8">
            <w:pPr>
              <w:autoSpaceDE w:val="0"/>
              <w:autoSpaceDN w:val="0"/>
              <w:adjustRightInd w:val="0"/>
              <w:ind w:left="105" w:leftChars="50" w:firstLine="560"/>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磨光值</w:t>
            </w:r>
          </w:p>
        </w:tc>
        <w:tc>
          <w:tcPr>
            <w:tcW w:w="2598" w:type="dxa"/>
            <w:shd w:val="clear" w:color="auto" w:fill="auto"/>
          </w:tcPr>
          <w:p w14:paraId="6FB9C191">
            <w:pPr>
              <w:autoSpaceDE w:val="0"/>
              <w:autoSpaceDN w:val="0"/>
              <w:adjustRightInd w:val="0"/>
              <w:jc w:val="center"/>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&gt;35</w:t>
            </w:r>
          </w:p>
        </w:tc>
        <w:tc>
          <w:tcPr>
            <w:tcW w:w="1608" w:type="dxa"/>
            <w:shd w:val="clear" w:color="auto" w:fill="auto"/>
          </w:tcPr>
          <w:p w14:paraId="4443D914">
            <w:pPr>
              <w:autoSpaceDE w:val="0"/>
              <w:autoSpaceDN w:val="0"/>
              <w:adjustRightInd w:val="0"/>
              <w:ind w:firstLine="560"/>
              <w:rPr>
                <w:rFonts w:hint="eastAsia" w:ascii="方正仿宋_GB2312" w:hAnsi="方正仿宋_GB2312" w:eastAsia="方正仿宋_GB2312" w:cs="方正仿宋_GB2312"/>
                <w:kern w:val="0"/>
                <w:szCs w:val="21"/>
              </w:rPr>
            </w:pPr>
          </w:p>
        </w:tc>
      </w:tr>
    </w:tbl>
    <w:p w14:paraId="5FC2A7A7">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细集料应采用中砂，满足下表的级配范围。</w:t>
      </w:r>
    </w:p>
    <w:p w14:paraId="19929A3D">
      <w:pPr>
        <w:pStyle w:val="195"/>
        <w:spacing w:line="360" w:lineRule="auto"/>
        <w:ind w:firstLine="560"/>
        <w:jc w:val="center"/>
        <w:rPr>
          <w:rFonts w:hint="eastAsia" w:ascii="方正仿宋_GB2312" w:hAnsi="方正仿宋_GB2312" w:eastAsia="方正仿宋_GB2312" w:cs="方正仿宋_GB2312"/>
          <w:szCs w:val="28"/>
          <w:lang w:bidi="en-US"/>
        </w:rPr>
      </w:pPr>
      <w:r>
        <w:rPr>
          <w:rFonts w:hint="eastAsia" w:ascii="方正仿宋_GB2312" w:hAnsi="方正仿宋_GB2312" w:eastAsia="方正仿宋_GB2312" w:cs="方正仿宋_GB2312"/>
          <w:szCs w:val="28"/>
          <w:lang w:bidi="en-US"/>
        </w:rPr>
        <w:t>表7-4细级料级配范围</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57"/>
        <w:gridCol w:w="1280"/>
        <w:gridCol w:w="1280"/>
        <w:gridCol w:w="1280"/>
        <w:gridCol w:w="1280"/>
        <w:gridCol w:w="1280"/>
        <w:gridCol w:w="1280"/>
      </w:tblGrid>
      <w:tr w14:paraId="630E5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136" w:type="pct"/>
            <w:shd w:val="clear" w:color="auto" w:fill="auto"/>
          </w:tcPr>
          <w:p w14:paraId="2833E5F6">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粒径（mm）</w:t>
            </w:r>
          </w:p>
        </w:tc>
        <w:tc>
          <w:tcPr>
            <w:tcW w:w="644" w:type="pct"/>
            <w:shd w:val="clear" w:color="auto" w:fill="auto"/>
          </w:tcPr>
          <w:p w14:paraId="6A09D300">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0.15</w:t>
            </w:r>
          </w:p>
        </w:tc>
        <w:tc>
          <w:tcPr>
            <w:tcW w:w="644" w:type="pct"/>
            <w:shd w:val="clear" w:color="auto" w:fill="auto"/>
          </w:tcPr>
          <w:p w14:paraId="15F08F87">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0.30</w:t>
            </w:r>
          </w:p>
        </w:tc>
        <w:tc>
          <w:tcPr>
            <w:tcW w:w="644" w:type="pct"/>
            <w:shd w:val="clear" w:color="auto" w:fill="auto"/>
          </w:tcPr>
          <w:p w14:paraId="48BEF06E">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0.60</w:t>
            </w:r>
          </w:p>
        </w:tc>
        <w:tc>
          <w:tcPr>
            <w:tcW w:w="644" w:type="pct"/>
            <w:shd w:val="clear" w:color="auto" w:fill="auto"/>
          </w:tcPr>
          <w:p w14:paraId="601A8340">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1.18</w:t>
            </w:r>
          </w:p>
        </w:tc>
        <w:tc>
          <w:tcPr>
            <w:tcW w:w="644" w:type="pct"/>
            <w:shd w:val="clear" w:color="auto" w:fill="auto"/>
          </w:tcPr>
          <w:p w14:paraId="742A1F8A">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2.36</w:t>
            </w:r>
          </w:p>
        </w:tc>
        <w:tc>
          <w:tcPr>
            <w:tcW w:w="644" w:type="pct"/>
            <w:shd w:val="clear" w:color="auto" w:fill="auto"/>
          </w:tcPr>
          <w:p w14:paraId="0F08E38D">
            <w:pPr>
              <w:autoSpaceDE w:val="0"/>
              <w:autoSpaceDN w:val="0"/>
              <w:adjustRightInd w:val="0"/>
              <w:ind w:firstLine="149" w:firstLineChars="71"/>
              <w:rPr>
                <w:rFonts w:hint="eastAsia" w:ascii="方正仿宋_GB2312" w:hAnsi="方正仿宋_GB2312" w:eastAsia="方正仿宋_GB2312" w:cs="方正仿宋_GB2312"/>
                <w:kern w:val="0"/>
                <w:szCs w:val="21"/>
              </w:rPr>
            </w:pPr>
            <w:r>
              <w:rPr>
                <w:rFonts w:hint="eastAsia" w:ascii="方正仿宋_GB2312" w:hAnsi="方正仿宋_GB2312" w:eastAsia="方正仿宋_GB2312" w:cs="方正仿宋_GB2312"/>
                <w:kern w:val="0"/>
                <w:szCs w:val="21"/>
              </w:rPr>
              <w:t>4.75</w:t>
            </w:r>
          </w:p>
        </w:tc>
      </w:tr>
      <w:tr w14:paraId="2C5B2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136" w:type="pct"/>
            <w:shd w:val="clear" w:color="auto" w:fill="auto"/>
          </w:tcPr>
          <w:p w14:paraId="38974B63">
            <w:pPr>
              <w:spacing w:line="520" w:lineRule="exact"/>
              <w:rPr>
                <w:rFonts w:hint="eastAsia" w:ascii="方正仿宋_GB2312" w:hAnsi="方正仿宋_GB2312" w:eastAsia="方正仿宋_GB2312" w:cs="方正仿宋_GB2312"/>
                <w:szCs w:val="28"/>
              </w:rPr>
            </w:pPr>
            <w:r>
              <w:rPr>
                <w:rFonts w:hint="eastAsia" w:ascii="方正仿宋_GB2312" w:hAnsi="方正仿宋_GB2312" w:eastAsia="方正仿宋_GB2312" w:cs="方正仿宋_GB2312"/>
                <w:szCs w:val="28"/>
              </w:rPr>
              <w:t>累计筛余（％）</w:t>
            </w:r>
          </w:p>
        </w:tc>
        <w:tc>
          <w:tcPr>
            <w:tcW w:w="644" w:type="pct"/>
            <w:shd w:val="clear" w:color="auto" w:fill="auto"/>
          </w:tcPr>
          <w:p w14:paraId="1F33E6DD">
            <w:pPr>
              <w:spacing w:line="520" w:lineRule="exact"/>
              <w:rPr>
                <w:rFonts w:hint="eastAsia" w:ascii="方正仿宋_GB2312" w:hAnsi="方正仿宋_GB2312" w:eastAsia="方正仿宋_GB2312" w:cs="方正仿宋_GB2312"/>
                <w:szCs w:val="28"/>
              </w:rPr>
            </w:pPr>
            <w:r>
              <w:rPr>
                <w:rFonts w:hint="eastAsia" w:ascii="方正仿宋_GB2312" w:hAnsi="方正仿宋_GB2312" w:eastAsia="方正仿宋_GB2312" w:cs="方正仿宋_GB2312"/>
                <w:szCs w:val="28"/>
              </w:rPr>
              <w:t>90-100</w:t>
            </w:r>
          </w:p>
        </w:tc>
        <w:tc>
          <w:tcPr>
            <w:tcW w:w="644" w:type="pct"/>
            <w:shd w:val="clear" w:color="auto" w:fill="auto"/>
          </w:tcPr>
          <w:p w14:paraId="252C7438">
            <w:pPr>
              <w:spacing w:line="520" w:lineRule="exact"/>
              <w:rPr>
                <w:rFonts w:hint="eastAsia" w:ascii="方正仿宋_GB2312" w:hAnsi="方正仿宋_GB2312" w:eastAsia="方正仿宋_GB2312" w:cs="方正仿宋_GB2312"/>
                <w:szCs w:val="28"/>
              </w:rPr>
            </w:pPr>
            <w:r>
              <w:rPr>
                <w:rFonts w:hint="eastAsia" w:ascii="方正仿宋_GB2312" w:hAnsi="方正仿宋_GB2312" w:eastAsia="方正仿宋_GB2312" w:cs="方正仿宋_GB2312"/>
                <w:szCs w:val="28"/>
              </w:rPr>
              <w:t>70-92</w:t>
            </w:r>
          </w:p>
        </w:tc>
        <w:tc>
          <w:tcPr>
            <w:tcW w:w="644" w:type="pct"/>
            <w:shd w:val="clear" w:color="auto" w:fill="auto"/>
          </w:tcPr>
          <w:p w14:paraId="35734A35">
            <w:pPr>
              <w:spacing w:line="520" w:lineRule="exact"/>
              <w:rPr>
                <w:rFonts w:hint="eastAsia" w:ascii="方正仿宋_GB2312" w:hAnsi="方正仿宋_GB2312" w:eastAsia="方正仿宋_GB2312" w:cs="方正仿宋_GB2312"/>
                <w:szCs w:val="28"/>
              </w:rPr>
            </w:pPr>
            <w:r>
              <w:rPr>
                <w:rFonts w:hint="eastAsia" w:ascii="方正仿宋_GB2312" w:hAnsi="方正仿宋_GB2312" w:eastAsia="方正仿宋_GB2312" w:cs="方正仿宋_GB2312"/>
                <w:szCs w:val="28"/>
              </w:rPr>
              <w:t>41-70</w:t>
            </w:r>
          </w:p>
        </w:tc>
        <w:tc>
          <w:tcPr>
            <w:tcW w:w="644" w:type="pct"/>
            <w:shd w:val="clear" w:color="auto" w:fill="auto"/>
          </w:tcPr>
          <w:p w14:paraId="22F2A022">
            <w:pPr>
              <w:spacing w:line="520" w:lineRule="exact"/>
              <w:rPr>
                <w:rFonts w:hint="eastAsia" w:ascii="方正仿宋_GB2312" w:hAnsi="方正仿宋_GB2312" w:eastAsia="方正仿宋_GB2312" w:cs="方正仿宋_GB2312"/>
                <w:szCs w:val="28"/>
              </w:rPr>
            </w:pPr>
            <w:r>
              <w:rPr>
                <w:rFonts w:hint="eastAsia" w:ascii="方正仿宋_GB2312" w:hAnsi="方正仿宋_GB2312" w:eastAsia="方正仿宋_GB2312" w:cs="方正仿宋_GB2312"/>
                <w:szCs w:val="28"/>
              </w:rPr>
              <w:t>10-50</w:t>
            </w:r>
          </w:p>
        </w:tc>
        <w:tc>
          <w:tcPr>
            <w:tcW w:w="644" w:type="pct"/>
            <w:shd w:val="clear" w:color="auto" w:fill="auto"/>
          </w:tcPr>
          <w:p w14:paraId="50F5F9C3">
            <w:pPr>
              <w:spacing w:line="520" w:lineRule="exact"/>
              <w:rPr>
                <w:rFonts w:hint="eastAsia" w:ascii="方正仿宋_GB2312" w:hAnsi="方正仿宋_GB2312" w:eastAsia="方正仿宋_GB2312" w:cs="方正仿宋_GB2312"/>
                <w:szCs w:val="28"/>
              </w:rPr>
            </w:pPr>
            <w:r>
              <w:rPr>
                <w:rFonts w:hint="eastAsia" w:ascii="方正仿宋_GB2312" w:hAnsi="方正仿宋_GB2312" w:eastAsia="方正仿宋_GB2312" w:cs="方正仿宋_GB2312"/>
                <w:szCs w:val="28"/>
              </w:rPr>
              <w:t>0-25</w:t>
            </w:r>
          </w:p>
        </w:tc>
        <w:tc>
          <w:tcPr>
            <w:tcW w:w="644" w:type="pct"/>
            <w:shd w:val="clear" w:color="auto" w:fill="auto"/>
          </w:tcPr>
          <w:p w14:paraId="077B9DA3">
            <w:pPr>
              <w:spacing w:line="520" w:lineRule="exact"/>
              <w:rPr>
                <w:rFonts w:hint="eastAsia" w:ascii="方正仿宋_GB2312" w:hAnsi="方正仿宋_GB2312" w:eastAsia="方正仿宋_GB2312" w:cs="方正仿宋_GB2312"/>
                <w:szCs w:val="28"/>
              </w:rPr>
            </w:pPr>
            <w:r>
              <w:rPr>
                <w:rFonts w:hint="eastAsia" w:ascii="方正仿宋_GB2312" w:hAnsi="方正仿宋_GB2312" w:eastAsia="方正仿宋_GB2312" w:cs="方正仿宋_GB2312"/>
                <w:szCs w:val="28"/>
              </w:rPr>
              <w:t>0-10</w:t>
            </w:r>
          </w:p>
        </w:tc>
      </w:tr>
    </w:tbl>
    <w:p w14:paraId="4066BC75">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（4）水泥混凝土</w:t>
      </w:r>
    </w:p>
    <w:p w14:paraId="40589D69">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水泥混凝土集料公称最大粒径不应大于31.5mm（碎石）或19.0mm(鹅卵石)。砂的细度模数不宜小于2.5；要求砂的硅质砂或石英砂的含量不宜低于25%。</w:t>
      </w:r>
    </w:p>
    <w:p w14:paraId="229B94DF">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水泥用量不得小于300kg/m3。</w:t>
      </w:r>
    </w:p>
    <w:p w14:paraId="45AAECAD">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（5）接缝施工</w:t>
      </w:r>
    </w:p>
    <w:p w14:paraId="4946957E">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1）纵缝施工</w:t>
      </w:r>
    </w:p>
    <w:p w14:paraId="33E1EB26">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当一次铺筑宽度小于路面和硬路肩总宽度时，应设纵向施工缝，位置应避开轮迹，并重合或靠近车道线，构造可采用平缝加拉杆型。采用滑模施工时，纵向施工缝的拉杆可用摊铺机的侧向拉杆装置插入。采用固定模板施工方式时，应在振实过程中，从侧模预留孔中手工插入拉杆。</w:t>
      </w:r>
    </w:p>
    <w:p w14:paraId="7D06EB9D">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当一次摊铺宽度大于4.5m时，应采用假缝拉杆型纵缝，即锯切纵向缩缝，纵缝位置应按车道宽度设置，并在摊铺过程中用专用的拉杆插入装置插入拉杆。</w:t>
      </w:r>
    </w:p>
    <w:p w14:paraId="0D89EBEF">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插入的侧向拉杆应牢固，不得松动、碰撞或拔出。若发现拉杆松脱或漏插，应在横向相邻路面摊铺前，钻孔重新植入。</w:t>
      </w:r>
    </w:p>
    <w:p w14:paraId="7F2CFA13">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2）横向缩缝</w:t>
      </w:r>
    </w:p>
    <w:p w14:paraId="7B82AB53">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本工程采用不设传力杆假缝形式。</w:t>
      </w:r>
    </w:p>
    <w:p w14:paraId="5EF39C3E">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3）切缝要求</w:t>
      </w:r>
    </w:p>
    <w:p w14:paraId="42BDD19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缩缝切缝宽度宜控制在4～6mm，切缝时锯片晃度不应大于2mm。可先用薄锯片锯切到要求深度，再使用6～8mm厚锯片或叠合锯片扩宽填缝槽，填缝槽深度宜为25～30mm，宽度宜为7～10mm。在变宽度路面上，宜先切缝划分板宽。变宽度路面缩缝，允许切割成小转角的折线，相邻板的横向缩缝切口必须对齐，允许偏差不得大于5mm。</w:t>
      </w:r>
    </w:p>
    <w:p w14:paraId="071D4F64">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（6）填缝料</w:t>
      </w:r>
    </w:p>
    <w:p w14:paraId="0A7B6D26">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混凝土板养生期满后，缝槽口应及时填缝。在填缝时，必须保持缝内清洁，防止砂石等杂物掉入缝内；必须在缝槽口干燥清洁状态下进行，缝壁检验擦不出灰尘为可灌标准。</w:t>
      </w:r>
    </w:p>
    <w:p w14:paraId="3C16F8A9">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填缝材料应具有与混凝土板壁粘结牢固，回弹性好，不溶于水、不渗水，高温时不挤出、不流淌，抗嵌入能力强，耐老化龟裂，负温拉伸量大，低温时不脆裂，耐久性好等性能。</w:t>
      </w:r>
    </w:p>
    <w:p w14:paraId="584E4B87">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（7）路面抗滑指标</w:t>
      </w:r>
    </w:p>
    <w:p w14:paraId="4EB4559B">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本工程路面抗滑指标采用一般路段的指标，构造深度TD为1</w:t>
      </w:r>
      <w:r>
        <w:rPr>
          <w:rFonts w:hint="eastAsia" w:ascii="方正仿宋_GB2312" w:hAnsi="方正仿宋_GB2312" w:eastAsia="方正仿宋_GB2312" w:cs="方正仿宋_GB2312"/>
          <w:spacing w:val="10"/>
          <w:sz w:val="28"/>
          <w:lang w:val="en-US" w:eastAsia="zh-CN"/>
        </w:rPr>
        <w:t>-2</w:t>
      </w:r>
      <w:r>
        <w:rPr>
          <w:rFonts w:hint="eastAsia" w:ascii="方正仿宋_GB2312" w:hAnsi="方正仿宋_GB2312" w:eastAsia="方正仿宋_GB2312" w:cs="方正仿宋_GB2312"/>
          <w:spacing w:val="10"/>
          <w:sz w:val="28"/>
        </w:rPr>
        <w:t>mm。构造深度应均匀，不损坏构造边棱，耐磨，不影响路面的平整度。水泥混凝土路面抗滑性能指标质量验收值：表面刻纹（压槽）构造深度1.0~1.2mm。</w:t>
      </w:r>
    </w:p>
    <w:p w14:paraId="0FFCB097">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4.场地平整</w:t>
      </w:r>
    </w:p>
    <w:p w14:paraId="2955F314">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（1）场地清理</w:t>
      </w:r>
    </w:p>
    <w:p w14:paraId="615B16D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树木、枯木、树桩、根、根株、丛林、垃圾和其它突出的障碍物等应进行清理并挖掘残根，所有的树桩和树根都应从原表面下至少15厘米深的区域中去除，树根去除后所留的空隙由粘性土来填充。</w:t>
      </w:r>
    </w:p>
    <w:p w14:paraId="7E870D83">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（2）填料选择</w:t>
      </w:r>
    </w:p>
    <w:p w14:paraId="1E1E66A2">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碎石类土、砂土、爆破石渣及含水量符合压实要求的粘性土可作为填方土料。淤泥、冻土、膨胀性土及有机物含量大于8％的土，以及硫酸盐含量大于5％的土均不能做填土。含水量大的粘土不宜做填土用，填方应尽量采用同类土填筑。如果填方中采用两种透水性不同的填料时，应分层填筑，上层宜填筑透水性较小的填料，下层宜填筑透水性较大的填料。填方施工应接近水平地分层填土、分层压实，每层的厚度根据土的种类及选用的压实机械而定。应分层检查填土压实质量，符合设计要求后，才能填筑上层。当填方位于倾斜的地面时，应先将斜坡挖成阶梯状，然后分层填筑，以防填土横向移动。</w:t>
      </w:r>
    </w:p>
    <w:p w14:paraId="0F541B1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（3）土方施工</w:t>
      </w:r>
    </w:p>
    <w:p w14:paraId="289EEFDC">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1、挖方及填方宜就近平衡，即将挖起的土就近填入附近的地块，地块内存在少量挖方也是就近推平填入旁边的低洼处。</w:t>
      </w:r>
    </w:p>
    <w:p w14:paraId="7464837D">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施工前应布置场区排水系统，设置临时排水沟，阻止山坡水流入施工现场，临时排入现状水塘。临时排水沟应随着场地的填高而抬高，在场地平整后也不宜取消，待周边道路的市政排水设施建成后，逐步由市政排水设施替代。</w:t>
      </w:r>
    </w:p>
    <w:p w14:paraId="4F1557EF">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3、土方开挖时宜从上到下分层分段依次进行，随着做成一定的坡势，以利泄水，凡采取护坡的边坡坡度应符合设计要求。</w:t>
      </w:r>
    </w:p>
    <w:p w14:paraId="00DB39AE">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4、在土方开挖过程中，应确保山体挖方边坡的稳定，如出现滑坡迹象，以及岩（土）内有软弱夹层或裂隙面时，应通知勘察设计单位提出处理措施。</w:t>
      </w:r>
    </w:p>
    <w:p w14:paraId="7540711E">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5、回填土方前，应清除表层的草皮、垃圾，松软土层须碾压密实，再进行填土。填土时应根据临时排水系统的排水方向，由上游向下游施工，以便于施工期间的排水，在施工过程中，场地填方截断临时排水沟处必须设置涵管，以免造成场地积水。</w:t>
      </w:r>
    </w:p>
    <w:p w14:paraId="444092D8">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6、清表及清除的淤泥，垃圾等须按建设方指定的地点丢弃，不得随意处理。</w:t>
      </w:r>
    </w:p>
    <w:p w14:paraId="7C4E5317">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7、填土压实的质量检查标准要求土的实际干密度要大于等于设计规定的控制干密度（R0≥Rd）。土的控制干密度可用土的最大干密度与土的压实系数之积来表示（Rd=lc*Rdmax）。压实系数一般由设计根据工程结构性质、使用要求以及土的性质确定。场地内道路部分平整压实系数lc应为0.9左右，其余一般场地平整压实系数lc应为0.87左右。场地平整后压实度≥93%。</w:t>
      </w:r>
    </w:p>
    <w:p w14:paraId="63D68566">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8、压实方法采用碾压法：碾压法是利用机械滚轮的压力压实土壤，使之达到所需的密实度。碾压机械有平碾及羊足碾等。平碾（光碾压路机）是一种以内燃机为动力的自行式压路机，重量6～15吨。羊足碾单位面积的压力比较大，土壤压实的效果好。羊足碾一般用于碾压粘性土，不适于砂性土，因在砂土中碾压时，土的颗粒受到羊足较大的单位压力后会向四面移动而使土的结构破坏。松土碾压宜先用轻碾压实，再用重碾压实，较好效果。碾压机械压实填方时，行驶速度不宜过快，一般平碾不应超过2km/h；羊足碾不应超过3km/h。</w:t>
      </w:r>
    </w:p>
    <w:p w14:paraId="37C8978F">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9、雨季施工时，应注意控制挖方高度，以避免土方坍塌，发生安全事故。</w:t>
      </w:r>
    </w:p>
    <w:p w14:paraId="256B2C4E">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10、图中未尽事项均应遵照现行施工验收规范《土方与爆破工程施工及验收规范》（GB50201-2012）执行。</w:t>
      </w:r>
    </w:p>
    <w:p w14:paraId="7BFC792D">
      <w:pPr>
        <w:spacing w:line="240" w:lineRule="atLeast"/>
        <w:outlineLvl w:val="1"/>
        <w:rPr>
          <w:rFonts w:hint="eastAsia" w:ascii="方正仿宋_GB2312" w:hAnsi="方正仿宋_GB2312" w:eastAsia="方正仿宋_GB2312" w:cs="方正仿宋_GB2312"/>
          <w:b/>
          <w:sz w:val="30"/>
          <w:szCs w:val="30"/>
        </w:rPr>
      </w:pPr>
      <w:r>
        <w:rPr>
          <w:rFonts w:hint="eastAsia" w:ascii="方正仿宋_GB2312" w:hAnsi="方正仿宋_GB2312" w:eastAsia="方正仿宋_GB2312" w:cs="方正仿宋_GB2312"/>
          <w:b/>
          <w:sz w:val="30"/>
          <w:szCs w:val="30"/>
        </w:rPr>
        <w:t>7.4、其它事项</w:t>
      </w:r>
    </w:p>
    <w:p w14:paraId="1FC1A6F7">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1、施工前必须对工程范围地下和地上建筑物做好调查，并采取保护措施。</w:t>
      </w:r>
    </w:p>
    <w:p w14:paraId="632F0FB2">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2、施工前必需做好施工组织设计，各部分地段施工前需做必要的施工勘察、地形复测以及现状道路相交路口竖向复核，如施工中发现实际情况与本设计图内容不符，请及时联系设计单位。</w:t>
      </w:r>
    </w:p>
    <w:p w14:paraId="1F7A01D3">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3、本施工图设计完成后，请业主单位尽快报规划部门备案，批准后方可实施。</w:t>
      </w:r>
    </w:p>
    <w:p w14:paraId="26A4AD2F">
      <w:pPr>
        <w:spacing w:line="240" w:lineRule="atLeast"/>
        <w:outlineLvl w:val="1"/>
        <w:rPr>
          <w:rFonts w:hint="eastAsia" w:ascii="方正仿宋_GB2312" w:hAnsi="方正仿宋_GB2312" w:eastAsia="方正仿宋_GB2312" w:cs="方正仿宋_GB2312"/>
          <w:b/>
          <w:sz w:val="30"/>
          <w:szCs w:val="30"/>
        </w:rPr>
      </w:pPr>
      <w:r>
        <w:rPr>
          <w:rFonts w:hint="eastAsia" w:ascii="方正仿宋_GB2312" w:hAnsi="方正仿宋_GB2312" w:eastAsia="方正仿宋_GB2312" w:cs="方正仿宋_GB2312"/>
          <w:b/>
          <w:sz w:val="30"/>
          <w:szCs w:val="30"/>
        </w:rPr>
        <w:t>7.5、施工验收</w:t>
      </w:r>
    </w:p>
    <w:p w14:paraId="16949A07">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1、施工中各分项、分部及单项工程均应采用《城镇道路工程施工与质量验收规范》（CJJ1—2008）等相关技术规范及时检查验收。上道工序、分部工程未按有关标准验收合格前不得进行下道工序或相关分部工程的施工。</w:t>
      </w:r>
    </w:p>
    <w:p w14:paraId="5DE5A9A0">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2、施工单位施工前需熟悉设计图纸，了解设计意图。施工单位开工前应对基准点、基准线、高程测量控制资料以及施工图中的控制点进行内业及外业复测。复测过程中，当发现不符或与相接的现状道路的衔接有问题时，应及时向设计单位查询，并取得准确结果后，方可施工。</w:t>
      </w:r>
    </w:p>
    <w:p w14:paraId="4EA949F9">
      <w:pPr>
        <w:spacing w:line="360" w:lineRule="auto"/>
        <w:ind w:firstLine="600"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spacing w:val="10"/>
          <w:sz w:val="28"/>
        </w:rPr>
        <w:t>3、施工前应调查清楚既有地下管线详细位置，并制定保护措施。</w:t>
      </w:r>
    </w:p>
    <w:p w14:paraId="237986FD">
      <w:pPr>
        <w:spacing w:line="360" w:lineRule="auto"/>
        <w:ind w:firstLine="643" w:firstLineChars="200"/>
        <w:rPr>
          <w:rFonts w:hint="eastAsia" w:ascii="方正仿宋_GB2312" w:hAnsi="方正仿宋_GB2312" w:eastAsia="方正仿宋_GB2312" w:cs="方正仿宋_GB2312"/>
          <w:spacing w:val="10"/>
          <w:sz w:val="28"/>
        </w:rPr>
      </w:pPr>
      <w:r>
        <w:rPr>
          <w:rFonts w:hint="eastAsia" w:ascii="方正仿宋_GB2312" w:hAnsi="方正仿宋_GB2312" w:eastAsia="方正仿宋_GB2312" w:cs="方正仿宋_GB2312"/>
          <w:b/>
          <w:bCs/>
          <w:sz w:val="32"/>
          <w:szCs w:val="32"/>
          <w:lang w:bidi="en-US"/>
        </w:rPr>
        <w:t>未尽事宜，按相关规范严格执行。</w:t>
      </w:r>
    </w:p>
    <w:sectPr>
      <w:type w:val="continuous"/>
      <w:pgSz w:w="23814" w:h="16840" w:orient="landscape"/>
      <w:pgMar w:top="1440" w:right="1800" w:bottom="1440" w:left="1800" w:header="851" w:footer="992" w:gutter="0"/>
      <w:cols w:space="771" w:num="2"/>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Calibri Light">
    <w:panose1 w:val="020F0302020204030204"/>
    <w:charset w:val="00"/>
    <w:family w:val="swiss"/>
    <w:pitch w:val="default"/>
    <w:sig w:usb0="A00002EF" w:usb1="4000207B" w:usb2="00000000" w:usb3="00000000" w:csb0="2000019F" w:csb1="00000000"/>
  </w:font>
  <w:font w:name="monospace">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80F3C52"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华文细黑">
    <w:altName w:val="Arial Unicode MS"/>
    <w:panose1 w:val="02010600040101010101"/>
    <w:charset w:val="86"/>
    <w:family w:val="auto"/>
    <w:pitch w:val="default"/>
    <w:sig w:usb0="00000000" w:usb1="00000000" w:usb2="00000010" w:usb3="00000000" w:csb0="0004009F" w:csb1="00000000"/>
  </w:font>
  <w:font w:name="Arial Unicode MS">
    <w:panose1 w:val="020B0604020202020204"/>
    <w:charset w:val="86"/>
    <w:family w:val="auto"/>
    <w:pitch w:val="default"/>
    <w:sig w:usb0="FFFFFFFF" w:usb1="E9FFFFFF" w:usb2="0000003F" w:usb3="00000000" w:csb0="603F01FF" w:csb1="FFFF0000"/>
  </w:font>
  <w:font w:name="幼圆">
    <w:panose1 w:val="02010509060101010101"/>
    <w:charset w:val="86"/>
    <w:family w:val="modern"/>
    <w:pitch w:val="default"/>
    <w:sig w:usb0="00000001" w:usb1="080E0000" w:usb2="00000000" w:usb3="00000000" w:csb0="00040000" w:csb1="00000000"/>
  </w:font>
  <w:font w:name="楷体">
    <w:altName w:val="宋体"/>
    <w:panose1 w:val="02010609060101010101"/>
    <w:charset w:val="86"/>
    <w:family w:val="modern"/>
    <w:pitch w:val="default"/>
    <w:sig w:usb0="00000000" w:usb1="00000000" w:usb2="00000016" w:usb3="00000000" w:csb0="00040001" w:csb1="00000000"/>
  </w:font>
  <w:font w:name="楷体_GB2312">
    <w:altName w:val="Arial Unicode MS"/>
    <w:panose1 w:val="00000000000000000000"/>
    <w:charset w:val="86"/>
    <w:family w:val="modern"/>
    <w:pitch w:val="default"/>
    <w:sig w:usb0="00000000" w:usb1="00000000" w:usb2="00000010" w:usb3="00000000" w:csb0="00040000" w:csb1="00000000"/>
  </w:font>
  <w:font w:name="方正仿宋_GB2312">
    <w:panose1 w:val="02000000000000000000"/>
    <w:charset w:val="86"/>
    <w:family w:val="auto"/>
    <w:pitch w:val="default"/>
    <w:sig w:usb0="A00002BF" w:usb1="184F6CFA" w:usb2="00000012"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7B1028"/>
    <w:multiLevelType w:val="multilevel"/>
    <w:tmpl w:val="167B1028"/>
    <w:lvl w:ilvl="0" w:tentative="0">
      <w:start w:val="1"/>
      <w:numFmt w:val="decimal"/>
      <w:lvlText w:val="第 %1 章"/>
      <w:lvlJc w:val="left"/>
      <w:pPr>
        <w:tabs>
          <w:tab w:val="left" w:pos="1800"/>
        </w:tabs>
        <w:ind w:left="0" w:firstLine="0"/>
      </w:pPr>
      <w:rPr>
        <w:rFonts w:hint="eastAsia"/>
      </w:rPr>
    </w:lvl>
    <w:lvl w:ilvl="1" w:tentative="0">
      <w:start w:val="1"/>
      <w:numFmt w:val="decimal"/>
      <w:lvlText w:val="%1.%2"/>
      <w:lvlJc w:val="left"/>
      <w:pPr>
        <w:tabs>
          <w:tab w:val="left" w:pos="720"/>
        </w:tabs>
        <w:ind w:left="0" w:firstLine="0"/>
      </w:pPr>
      <w:rPr>
        <w:rFonts w:hint="eastAsia"/>
      </w:rPr>
    </w:lvl>
    <w:lvl w:ilvl="2" w:tentative="0">
      <w:start w:val="1"/>
      <w:numFmt w:val="decimal"/>
      <w:lvlText w:val="%1.%2.%3"/>
      <w:lvlJc w:val="left"/>
      <w:pPr>
        <w:tabs>
          <w:tab w:val="left" w:pos="1440"/>
        </w:tabs>
        <w:ind w:left="0" w:firstLine="0"/>
      </w:pPr>
      <w:rPr>
        <w:rFonts w:hint="eastAsia"/>
      </w:rPr>
    </w:lvl>
    <w:lvl w:ilvl="3" w:tentative="0">
      <w:start w:val="1"/>
      <w:numFmt w:val="decimal"/>
      <w:lvlText w:val="%1.%2.%3.%4"/>
      <w:lvlJc w:val="left"/>
      <w:pPr>
        <w:tabs>
          <w:tab w:val="left" w:pos="1800"/>
        </w:tabs>
        <w:ind w:left="0" w:firstLine="0"/>
      </w:pPr>
      <w:rPr>
        <w:rFonts w:hint="eastAsia"/>
      </w:rPr>
    </w:lvl>
    <w:lvl w:ilvl="4" w:tentative="0">
      <w:start w:val="1"/>
      <w:numFmt w:val="none"/>
      <w:pStyle w:val="7"/>
      <w:suff w:val="nothing"/>
      <w:lvlText w:val=""/>
      <w:lvlJc w:val="left"/>
      <w:pPr>
        <w:ind w:left="0" w:firstLine="0"/>
      </w:pPr>
      <w:rPr>
        <w:rFonts w:hint="eastAsia"/>
      </w:rPr>
    </w:lvl>
    <w:lvl w:ilvl="5" w:tentative="0">
      <w:start w:val="1"/>
      <w:numFmt w:val="none"/>
      <w:pStyle w:val="8"/>
      <w:suff w:val="nothing"/>
      <w:lvlText w:val=""/>
      <w:lvlJc w:val="left"/>
      <w:pPr>
        <w:ind w:left="0" w:firstLine="0"/>
      </w:pPr>
      <w:rPr>
        <w:rFonts w:hint="eastAsia"/>
      </w:rPr>
    </w:lvl>
    <w:lvl w:ilvl="6" w:tentative="0">
      <w:start w:val="1"/>
      <w:numFmt w:val="none"/>
      <w:pStyle w:val="9"/>
      <w:suff w:val="nothing"/>
      <w:lvlText w:val=""/>
      <w:lvlJc w:val="left"/>
      <w:pPr>
        <w:ind w:left="0" w:firstLine="0"/>
      </w:pPr>
      <w:rPr>
        <w:rFonts w:hint="eastAsia"/>
      </w:rPr>
    </w:lvl>
    <w:lvl w:ilvl="7" w:tentative="0">
      <w:start w:val="1"/>
      <w:numFmt w:val="none"/>
      <w:pStyle w:val="10"/>
      <w:suff w:val="nothing"/>
      <w:lvlText w:val=""/>
      <w:lvlJc w:val="left"/>
      <w:pPr>
        <w:ind w:left="0" w:firstLine="0"/>
      </w:pPr>
      <w:rPr>
        <w:rFonts w:hint="eastAsia"/>
      </w:rPr>
    </w:lvl>
    <w:lvl w:ilvl="8" w:tentative="0">
      <w:start w:val="1"/>
      <w:numFmt w:val="none"/>
      <w:pStyle w:val="11"/>
      <w:suff w:val="nothing"/>
      <w:lvlText w:val=""/>
      <w:lvlJc w:val="left"/>
      <w:pPr>
        <w:ind w:left="0" w:firstLine="0"/>
      </w:pPr>
      <w:rPr>
        <w:rFonts w:hint="eastAsia"/>
      </w:rPr>
    </w:lvl>
  </w:abstractNum>
  <w:abstractNum w:abstractNumId="1">
    <w:nsid w:val="1FF402BE"/>
    <w:multiLevelType w:val="multilevel"/>
    <w:tmpl w:val="1FF402BE"/>
    <w:lvl w:ilvl="0" w:tentative="0">
      <w:start w:val="1"/>
      <w:numFmt w:val="decimal"/>
      <w:pStyle w:val="191"/>
      <w:lvlText w:val="[%1]"/>
      <w:lvlJc w:val="left"/>
      <w:pPr>
        <w:tabs>
          <w:tab w:val="left" w:pos="488"/>
        </w:tabs>
        <w:ind w:left="488" w:hanging="488"/>
      </w:pPr>
      <w:rPr>
        <w:rFonts w:hint="default" w:ascii="Times New Roman" w:hAnsi="Times New Roman" w:eastAsia="宋体"/>
        <w:b w:val="0"/>
        <w:i w:val="0"/>
        <w:snapToGrid w:val="0"/>
        <w:sz w:val="21"/>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37766072"/>
    <w:multiLevelType w:val="multilevel"/>
    <w:tmpl w:val="37766072"/>
    <w:lvl w:ilvl="0" w:tentative="0">
      <w:start w:val="1"/>
      <w:numFmt w:val="decimal"/>
      <w:lvlText w:val="%1."/>
      <w:lvlJc w:val="left"/>
      <w:pPr>
        <w:tabs>
          <w:tab w:val="left" w:pos="425"/>
        </w:tabs>
        <w:ind w:left="425" w:hanging="425"/>
      </w:pPr>
    </w:lvl>
    <w:lvl w:ilvl="1" w:tentative="0">
      <w:start w:val="1"/>
      <w:numFmt w:val="decimal"/>
      <w:pStyle w:val="3"/>
      <w:lvlText w:val="%1.%2."/>
      <w:lvlJc w:val="left"/>
      <w:pPr>
        <w:tabs>
          <w:tab w:val="left" w:pos="961"/>
        </w:tabs>
        <w:ind w:left="961" w:hanging="567"/>
      </w:pPr>
    </w:lvl>
    <w:lvl w:ilvl="2" w:tentative="0">
      <w:start w:val="1"/>
      <w:numFmt w:val="decimal"/>
      <w:lvlText w:val="%1.%2.%3."/>
      <w:lvlJc w:val="left"/>
      <w:pPr>
        <w:tabs>
          <w:tab w:val="left" w:pos="709"/>
        </w:tabs>
        <w:ind w:left="709" w:hanging="709"/>
      </w:p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3">
    <w:nsid w:val="51B72C06"/>
    <w:multiLevelType w:val="multilevel"/>
    <w:tmpl w:val="51B72C06"/>
    <w:lvl w:ilvl="0" w:tentative="0">
      <w:start w:val="1"/>
      <w:numFmt w:val="japaneseCounting"/>
      <w:pStyle w:val="180"/>
      <w:lvlText w:val="%1、"/>
      <w:lvlJc w:val="left"/>
      <w:pPr>
        <w:tabs>
          <w:tab w:val="left" w:pos="628"/>
        </w:tabs>
        <w:ind w:left="628" w:hanging="480"/>
      </w:pPr>
      <w:rPr>
        <w:rFonts w:hint="eastAsia"/>
      </w:rPr>
    </w:lvl>
    <w:lvl w:ilvl="1" w:tentative="0">
      <w:start w:val="5"/>
      <w:numFmt w:val="decimal"/>
      <w:lvlText w:val="%2．"/>
      <w:lvlJc w:val="left"/>
      <w:pPr>
        <w:tabs>
          <w:tab w:val="left" w:pos="943"/>
        </w:tabs>
        <w:ind w:left="943" w:hanging="375"/>
      </w:pPr>
      <w:rPr>
        <w:rFonts w:hint="eastAsia"/>
      </w:rPr>
    </w:lvl>
    <w:lvl w:ilvl="2" w:tentative="0">
      <w:start w:val="1"/>
      <w:numFmt w:val="decimal"/>
      <w:lvlText w:val="%3）"/>
      <w:lvlJc w:val="left"/>
      <w:pPr>
        <w:tabs>
          <w:tab w:val="left" w:pos="1348"/>
        </w:tabs>
        <w:ind w:left="1348" w:hanging="360"/>
      </w:pPr>
      <w:rPr>
        <w:rFonts w:hint="eastAsia"/>
      </w:rPr>
    </w:lvl>
    <w:lvl w:ilvl="3" w:tentative="0">
      <w:start w:val="2"/>
      <w:numFmt w:val="lowerLetter"/>
      <w:lvlText w:val="%4．"/>
      <w:lvlJc w:val="left"/>
      <w:pPr>
        <w:tabs>
          <w:tab w:val="left" w:pos="1768"/>
        </w:tabs>
        <w:ind w:left="1768" w:hanging="360"/>
      </w:pPr>
      <w:rPr>
        <w:rFonts w:hint="eastAsia"/>
      </w:rPr>
    </w:lvl>
    <w:lvl w:ilvl="4" w:tentative="0">
      <w:start w:val="1"/>
      <w:numFmt w:val="lowerLetter"/>
      <w:lvlText w:val="%5)"/>
      <w:lvlJc w:val="left"/>
      <w:pPr>
        <w:tabs>
          <w:tab w:val="left" w:pos="2248"/>
        </w:tabs>
        <w:ind w:left="2248" w:hanging="420"/>
      </w:pPr>
    </w:lvl>
    <w:lvl w:ilvl="5" w:tentative="0">
      <w:start w:val="1"/>
      <w:numFmt w:val="lowerRoman"/>
      <w:lvlText w:val="%6."/>
      <w:lvlJc w:val="right"/>
      <w:pPr>
        <w:tabs>
          <w:tab w:val="left" w:pos="2668"/>
        </w:tabs>
        <w:ind w:left="2668" w:hanging="420"/>
      </w:pPr>
    </w:lvl>
    <w:lvl w:ilvl="6" w:tentative="0">
      <w:start w:val="1"/>
      <w:numFmt w:val="decimal"/>
      <w:lvlText w:val="%7."/>
      <w:lvlJc w:val="left"/>
      <w:pPr>
        <w:tabs>
          <w:tab w:val="left" w:pos="3088"/>
        </w:tabs>
        <w:ind w:left="3088" w:hanging="420"/>
      </w:pPr>
    </w:lvl>
    <w:lvl w:ilvl="7" w:tentative="0">
      <w:start w:val="1"/>
      <w:numFmt w:val="lowerLetter"/>
      <w:lvlText w:val="%8)"/>
      <w:lvlJc w:val="left"/>
      <w:pPr>
        <w:tabs>
          <w:tab w:val="left" w:pos="3508"/>
        </w:tabs>
        <w:ind w:left="3508" w:hanging="420"/>
      </w:pPr>
    </w:lvl>
    <w:lvl w:ilvl="8" w:tentative="0">
      <w:start w:val="1"/>
      <w:numFmt w:val="lowerRoman"/>
      <w:lvlText w:val="%9."/>
      <w:lvlJc w:val="right"/>
      <w:pPr>
        <w:tabs>
          <w:tab w:val="left" w:pos="3928"/>
        </w:tabs>
        <w:ind w:left="3928" w:hanging="42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2"/>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001"/>
    <w:rsid w:val="00000746"/>
    <w:rsid w:val="00001458"/>
    <w:rsid w:val="000032C3"/>
    <w:rsid w:val="000040D4"/>
    <w:rsid w:val="00005B75"/>
    <w:rsid w:val="00005F9F"/>
    <w:rsid w:val="00006C67"/>
    <w:rsid w:val="000105AF"/>
    <w:rsid w:val="000108FE"/>
    <w:rsid w:val="00012130"/>
    <w:rsid w:val="00014345"/>
    <w:rsid w:val="00016859"/>
    <w:rsid w:val="00017240"/>
    <w:rsid w:val="00020937"/>
    <w:rsid w:val="000251A2"/>
    <w:rsid w:val="000264DC"/>
    <w:rsid w:val="00030DB8"/>
    <w:rsid w:val="000314A7"/>
    <w:rsid w:val="000317BC"/>
    <w:rsid w:val="00032702"/>
    <w:rsid w:val="00032C00"/>
    <w:rsid w:val="0003592F"/>
    <w:rsid w:val="00035F75"/>
    <w:rsid w:val="00037189"/>
    <w:rsid w:val="00041DA6"/>
    <w:rsid w:val="00046E93"/>
    <w:rsid w:val="00050E29"/>
    <w:rsid w:val="00051B1F"/>
    <w:rsid w:val="00052F00"/>
    <w:rsid w:val="00053745"/>
    <w:rsid w:val="000539E7"/>
    <w:rsid w:val="00053DD8"/>
    <w:rsid w:val="00054BBD"/>
    <w:rsid w:val="000552D8"/>
    <w:rsid w:val="00057F92"/>
    <w:rsid w:val="00057FE1"/>
    <w:rsid w:val="000649B4"/>
    <w:rsid w:val="00065E6E"/>
    <w:rsid w:val="00066669"/>
    <w:rsid w:val="00067907"/>
    <w:rsid w:val="00072065"/>
    <w:rsid w:val="00072DDC"/>
    <w:rsid w:val="00072E01"/>
    <w:rsid w:val="00073A47"/>
    <w:rsid w:val="00073AB8"/>
    <w:rsid w:val="000748E4"/>
    <w:rsid w:val="00075F9F"/>
    <w:rsid w:val="00077117"/>
    <w:rsid w:val="00077918"/>
    <w:rsid w:val="00080C73"/>
    <w:rsid w:val="000832EF"/>
    <w:rsid w:val="00084182"/>
    <w:rsid w:val="0008432B"/>
    <w:rsid w:val="00084F9B"/>
    <w:rsid w:val="00091FAF"/>
    <w:rsid w:val="000925E3"/>
    <w:rsid w:val="00092C92"/>
    <w:rsid w:val="00093225"/>
    <w:rsid w:val="000A0243"/>
    <w:rsid w:val="000A08D0"/>
    <w:rsid w:val="000A33B1"/>
    <w:rsid w:val="000A45C2"/>
    <w:rsid w:val="000A5B2C"/>
    <w:rsid w:val="000A607C"/>
    <w:rsid w:val="000A6A4D"/>
    <w:rsid w:val="000B0116"/>
    <w:rsid w:val="000B39A0"/>
    <w:rsid w:val="000B456F"/>
    <w:rsid w:val="000B4CF8"/>
    <w:rsid w:val="000B4F19"/>
    <w:rsid w:val="000B7E2E"/>
    <w:rsid w:val="000C03F3"/>
    <w:rsid w:val="000C1852"/>
    <w:rsid w:val="000C1CE9"/>
    <w:rsid w:val="000C286C"/>
    <w:rsid w:val="000C38D1"/>
    <w:rsid w:val="000C5108"/>
    <w:rsid w:val="000C555C"/>
    <w:rsid w:val="000C5ECB"/>
    <w:rsid w:val="000C688F"/>
    <w:rsid w:val="000C6BAC"/>
    <w:rsid w:val="000D2094"/>
    <w:rsid w:val="000D2F6D"/>
    <w:rsid w:val="000D64C4"/>
    <w:rsid w:val="000D6E0E"/>
    <w:rsid w:val="000D71CD"/>
    <w:rsid w:val="000D7FCB"/>
    <w:rsid w:val="000E19AF"/>
    <w:rsid w:val="000E3651"/>
    <w:rsid w:val="000E5E57"/>
    <w:rsid w:val="000E7D4A"/>
    <w:rsid w:val="000F002E"/>
    <w:rsid w:val="000F07BE"/>
    <w:rsid w:val="000F0988"/>
    <w:rsid w:val="000F1568"/>
    <w:rsid w:val="000F1BF6"/>
    <w:rsid w:val="000F39E1"/>
    <w:rsid w:val="000F4397"/>
    <w:rsid w:val="000F4CCF"/>
    <w:rsid w:val="000F691E"/>
    <w:rsid w:val="000F6DF7"/>
    <w:rsid w:val="000F7828"/>
    <w:rsid w:val="000F7F25"/>
    <w:rsid w:val="00100608"/>
    <w:rsid w:val="001020C2"/>
    <w:rsid w:val="00103B24"/>
    <w:rsid w:val="00103EE6"/>
    <w:rsid w:val="001058F1"/>
    <w:rsid w:val="00105FF6"/>
    <w:rsid w:val="00106164"/>
    <w:rsid w:val="001072C2"/>
    <w:rsid w:val="00107FEE"/>
    <w:rsid w:val="001143EA"/>
    <w:rsid w:val="00116638"/>
    <w:rsid w:val="00116E64"/>
    <w:rsid w:val="001205FC"/>
    <w:rsid w:val="00121B69"/>
    <w:rsid w:val="001272FE"/>
    <w:rsid w:val="00131749"/>
    <w:rsid w:val="00131A16"/>
    <w:rsid w:val="00132842"/>
    <w:rsid w:val="00133F47"/>
    <w:rsid w:val="001413F1"/>
    <w:rsid w:val="00142CE3"/>
    <w:rsid w:val="001502F7"/>
    <w:rsid w:val="001517FD"/>
    <w:rsid w:val="00154861"/>
    <w:rsid w:val="00157606"/>
    <w:rsid w:val="001607A2"/>
    <w:rsid w:val="00160B02"/>
    <w:rsid w:val="00160C21"/>
    <w:rsid w:val="00161735"/>
    <w:rsid w:val="0016192C"/>
    <w:rsid w:val="00161FD9"/>
    <w:rsid w:val="00162097"/>
    <w:rsid w:val="00165BA8"/>
    <w:rsid w:val="00165FA8"/>
    <w:rsid w:val="00166BA1"/>
    <w:rsid w:val="00166C09"/>
    <w:rsid w:val="00166C5A"/>
    <w:rsid w:val="001707AB"/>
    <w:rsid w:val="00172507"/>
    <w:rsid w:val="001755FC"/>
    <w:rsid w:val="0018121B"/>
    <w:rsid w:val="0018126A"/>
    <w:rsid w:val="001855CC"/>
    <w:rsid w:val="00186A4C"/>
    <w:rsid w:val="00186B52"/>
    <w:rsid w:val="001908C7"/>
    <w:rsid w:val="00190E7C"/>
    <w:rsid w:val="00191E8C"/>
    <w:rsid w:val="00195704"/>
    <w:rsid w:val="00197408"/>
    <w:rsid w:val="001978BB"/>
    <w:rsid w:val="00197C20"/>
    <w:rsid w:val="001A0343"/>
    <w:rsid w:val="001A253E"/>
    <w:rsid w:val="001A4277"/>
    <w:rsid w:val="001A42C7"/>
    <w:rsid w:val="001A49BB"/>
    <w:rsid w:val="001A6712"/>
    <w:rsid w:val="001A6969"/>
    <w:rsid w:val="001B0859"/>
    <w:rsid w:val="001B11AA"/>
    <w:rsid w:val="001B15FB"/>
    <w:rsid w:val="001B2315"/>
    <w:rsid w:val="001B24F5"/>
    <w:rsid w:val="001B3F51"/>
    <w:rsid w:val="001B4A8F"/>
    <w:rsid w:val="001B54C1"/>
    <w:rsid w:val="001B5B9C"/>
    <w:rsid w:val="001C35C1"/>
    <w:rsid w:val="001C3961"/>
    <w:rsid w:val="001C3CCA"/>
    <w:rsid w:val="001C4305"/>
    <w:rsid w:val="001C44B8"/>
    <w:rsid w:val="001C57C8"/>
    <w:rsid w:val="001C5EC8"/>
    <w:rsid w:val="001D0735"/>
    <w:rsid w:val="001D637A"/>
    <w:rsid w:val="001D6BE7"/>
    <w:rsid w:val="001E2109"/>
    <w:rsid w:val="001E3091"/>
    <w:rsid w:val="001E3E47"/>
    <w:rsid w:val="001E4473"/>
    <w:rsid w:val="001E50B8"/>
    <w:rsid w:val="001E5304"/>
    <w:rsid w:val="001E664B"/>
    <w:rsid w:val="001E7E38"/>
    <w:rsid w:val="001F52F5"/>
    <w:rsid w:val="001F5EA1"/>
    <w:rsid w:val="001F606A"/>
    <w:rsid w:val="00200259"/>
    <w:rsid w:val="00201A8C"/>
    <w:rsid w:val="002024D6"/>
    <w:rsid w:val="00204833"/>
    <w:rsid w:val="00204C20"/>
    <w:rsid w:val="00206A36"/>
    <w:rsid w:val="00206B52"/>
    <w:rsid w:val="00206CCE"/>
    <w:rsid w:val="00207470"/>
    <w:rsid w:val="00214087"/>
    <w:rsid w:val="002150FF"/>
    <w:rsid w:val="002161CE"/>
    <w:rsid w:val="00216BF2"/>
    <w:rsid w:val="0022075C"/>
    <w:rsid w:val="00220926"/>
    <w:rsid w:val="00222687"/>
    <w:rsid w:val="002247A7"/>
    <w:rsid w:val="00225EE9"/>
    <w:rsid w:val="00230C99"/>
    <w:rsid w:val="00230F33"/>
    <w:rsid w:val="002344B4"/>
    <w:rsid w:val="0023463A"/>
    <w:rsid w:val="00234743"/>
    <w:rsid w:val="00235080"/>
    <w:rsid w:val="00235523"/>
    <w:rsid w:val="002358B4"/>
    <w:rsid w:val="00235B80"/>
    <w:rsid w:val="00241110"/>
    <w:rsid w:val="002447FF"/>
    <w:rsid w:val="00246367"/>
    <w:rsid w:val="00252C98"/>
    <w:rsid w:val="00253CA3"/>
    <w:rsid w:val="0025479F"/>
    <w:rsid w:val="00256EC9"/>
    <w:rsid w:val="00257825"/>
    <w:rsid w:val="0026605F"/>
    <w:rsid w:val="00267F7D"/>
    <w:rsid w:val="0027195E"/>
    <w:rsid w:val="002735C4"/>
    <w:rsid w:val="00273945"/>
    <w:rsid w:val="00273E54"/>
    <w:rsid w:val="00274E57"/>
    <w:rsid w:val="00275609"/>
    <w:rsid w:val="0028377F"/>
    <w:rsid w:val="00287E46"/>
    <w:rsid w:val="00287F34"/>
    <w:rsid w:val="00291319"/>
    <w:rsid w:val="00291B48"/>
    <w:rsid w:val="00293B10"/>
    <w:rsid w:val="00294B70"/>
    <w:rsid w:val="00296E25"/>
    <w:rsid w:val="002A080F"/>
    <w:rsid w:val="002A0A44"/>
    <w:rsid w:val="002A3DC8"/>
    <w:rsid w:val="002A6843"/>
    <w:rsid w:val="002A6A2F"/>
    <w:rsid w:val="002B0E8D"/>
    <w:rsid w:val="002B50A4"/>
    <w:rsid w:val="002B5CC0"/>
    <w:rsid w:val="002C0DBC"/>
    <w:rsid w:val="002C165E"/>
    <w:rsid w:val="002C304B"/>
    <w:rsid w:val="002C5EE4"/>
    <w:rsid w:val="002C6CC5"/>
    <w:rsid w:val="002D0071"/>
    <w:rsid w:val="002D2C09"/>
    <w:rsid w:val="002D2C27"/>
    <w:rsid w:val="002D6719"/>
    <w:rsid w:val="002E0C80"/>
    <w:rsid w:val="002E76B9"/>
    <w:rsid w:val="002F0BE9"/>
    <w:rsid w:val="002F0D8F"/>
    <w:rsid w:val="002F2A82"/>
    <w:rsid w:val="002F3491"/>
    <w:rsid w:val="002F3CCD"/>
    <w:rsid w:val="002F43D9"/>
    <w:rsid w:val="002F4E18"/>
    <w:rsid w:val="002F7E1A"/>
    <w:rsid w:val="003032D9"/>
    <w:rsid w:val="0030512F"/>
    <w:rsid w:val="00305FED"/>
    <w:rsid w:val="003077C9"/>
    <w:rsid w:val="00311CD2"/>
    <w:rsid w:val="00317898"/>
    <w:rsid w:val="00324310"/>
    <w:rsid w:val="003270CC"/>
    <w:rsid w:val="003309EA"/>
    <w:rsid w:val="00330D58"/>
    <w:rsid w:val="00332869"/>
    <w:rsid w:val="00332E07"/>
    <w:rsid w:val="00333058"/>
    <w:rsid w:val="003419B0"/>
    <w:rsid w:val="003428D9"/>
    <w:rsid w:val="00342CB3"/>
    <w:rsid w:val="003449EB"/>
    <w:rsid w:val="00350605"/>
    <w:rsid w:val="00351007"/>
    <w:rsid w:val="00351757"/>
    <w:rsid w:val="00353488"/>
    <w:rsid w:val="003536EE"/>
    <w:rsid w:val="00353A76"/>
    <w:rsid w:val="0035430A"/>
    <w:rsid w:val="00354F95"/>
    <w:rsid w:val="00355352"/>
    <w:rsid w:val="00355A36"/>
    <w:rsid w:val="00357593"/>
    <w:rsid w:val="00362799"/>
    <w:rsid w:val="003637A8"/>
    <w:rsid w:val="003647DC"/>
    <w:rsid w:val="003652AE"/>
    <w:rsid w:val="00370C9D"/>
    <w:rsid w:val="00373192"/>
    <w:rsid w:val="00375633"/>
    <w:rsid w:val="00380555"/>
    <w:rsid w:val="00380A15"/>
    <w:rsid w:val="00380DD7"/>
    <w:rsid w:val="00381020"/>
    <w:rsid w:val="003810F2"/>
    <w:rsid w:val="00381885"/>
    <w:rsid w:val="00382F5F"/>
    <w:rsid w:val="00385D5B"/>
    <w:rsid w:val="00386B0C"/>
    <w:rsid w:val="003906ED"/>
    <w:rsid w:val="003909B4"/>
    <w:rsid w:val="00395283"/>
    <w:rsid w:val="00397F81"/>
    <w:rsid w:val="003A0686"/>
    <w:rsid w:val="003A07F8"/>
    <w:rsid w:val="003A20DE"/>
    <w:rsid w:val="003A3C6A"/>
    <w:rsid w:val="003A4E10"/>
    <w:rsid w:val="003A57A2"/>
    <w:rsid w:val="003A7186"/>
    <w:rsid w:val="003A79F7"/>
    <w:rsid w:val="003B05DA"/>
    <w:rsid w:val="003B11D9"/>
    <w:rsid w:val="003B44CF"/>
    <w:rsid w:val="003B5A99"/>
    <w:rsid w:val="003B7842"/>
    <w:rsid w:val="003C074C"/>
    <w:rsid w:val="003C37C2"/>
    <w:rsid w:val="003C461C"/>
    <w:rsid w:val="003C5040"/>
    <w:rsid w:val="003C5E92"/>
    <w:rsid w:val="003D250E"/>
    <w:rsid w:val="003D2D15"/>
    <w:rsid w:val="003D2F8A"/>
    <w:rsid w:val="003D301D"/>
    <w:rsid w:val="003D3BA1"/>
    <w:rsid w:val="003D41AA"/>
    <w:rsid w:val="003D659C"/>
    <w:rsid w:val="003D6B0D"/>
    <w:rsid w:val="003E0213"/>
    <w:rsid w:val="003E1011"/>
    <w:rsid w:val="003E12D1"/>
    <w:rsid w:val="003E4331"/>
    <w:rsid w:val="003E441D"/>
    <w:rsid w:val="003E5694"/>
    <w:rsid w:val="003F3B69"/>
    <w:rsid w:val="003F5271"/>
    <w:rsid w:val="003F5380"/>
    <w:rsid w:val="00400F4D"/>
    <w:rsid w:val="0040249B"/>
    <w:rsid w:val="00404BB2"/>
    <w:rsid w:val="00407D13"/>
    <w:rsid w:val="00413DE5"/>
    <w:rsid w:val="0041558A"/>
    <w:rsid w:val="004173C7"/>
    <w:rsid w:val="0041740A"/>
    <w:rsid w:val="00417D54"/>
    <w:rsid w:val="00421E68"/>
    <w:rsid w:val="004257C1"/>
    <w:rsid w:val="00432D11"/>
    <w:rsid w:val="0043455E"/>
    <w:rsid w:val="004346B5"/>
    <w:rsid w:val="004354AD"/>
    <w:rsid w:val="0043586D"/>
    <w:rsid w:val="0043617F"/>
    <w:rsid w:val="00437630"/>
    <w:rsid w:val="004378AD"/>
    <w:rsid w:val="0044088F"/>
    <w:rsid w:val="00442178"/>
    <w:rsid w:val="0044233E"/>
    <w:rsid w:val="00442FC4"/>
    <w:rsid w:val="004446F0"/>
    <w:rsid w:val="00446D2F"/>
    <w:rsid w:val="0044755D"/>
    <w:rsid w:val="00450B85"/>
    <w:rsid w:val="00450EBD"/>
    <w:rsid w:val="00451311"/>
    <w:rsid w:val="00451863"/>
    <w:rsid w:val="004530D0"/>
    <w:rsid w:val="0045390D"/>
    <w:rsid w:val="00455012"/>
    <w:rsid w:val="00455F7A"/>
    <w:rsid w:val="00457BAE"/>
    <w:rsid w:val="0046039D"/>
    <w:rsid w:val="00461937"/>
    <w:rsid w:val="00462051"/>
    <w:rsid w:val="004625EC"/>
    <w:rsid w:val="0046301F"/>
    <w:rsid w:val="00463D3F"/>
    <w:rsid w:val="0046466B"/>
    <w:rsid w:val="004648C1"/>
    <w:rsid w:val="00464925"/>
    <w:rsid w:val="00466651"/>
    <w:rsid w:val="00466D8F"/>
    <w:rsid w:val="0047036D"/>
    <w:rsid w:val="00470693"/>
    <w:rsid w:val="00472010"/>
    <w:rsid w:val="004732E9"/>
    <w:rsid w:val="00473435"/>
    <w:rsid w:val="0047422E"/>
    <w:rsid w:val="0047447A"/>
    <w:rsid w:val="00474797"/>
    <w:rsid w:val="00474CF1"/>
    <w:rsid w:val="0047682A"/>
    <w:rsid w:val="0048004D"/>
    <w:rsid w:val="00480A64"/>
    <w:rsid w:val="004810E1"/>
    <w:rsid w:val="0048322D"/>
    <w:rsid w:val="0048377C"/>
    <w:rsid w:val="004841DD"/>
    <w:rsid w:val="00485C0E"/>
    <w:rsid w:val="00492293"/>
    <w:rsid w:val="00492374"/>
    <w:rsid w:val="004931E5"/>
    <w:rsid w:val="0049389E"/>
    <w:rsid w:val="00493BE7"/>
    <w:rsid w:val="00496440"/>
    <w:rsid w:val="00497148"/>
    <w:rsid w:val="004A0DA5"/>
    <w:rsid w:val="004A0F1C"/>
    <w:rsid w:val="004A1D36"/>
    <w:rsid w:val="004A3EA6"/>
    <w:rsid w:val="004A71AD"/>
    <w:rsid w:val="004A7806"/>
    <w:rsid w:val="004A7965"/>
    <w:rsid w:val="004B48CF"/>
    <w:rsid w:val="004B549F"/>
    <w:rsid w:val="004C10DD"/>
    <w:rsid w:val="004C2634"/>
    <w:rsid w:val="004C2F0A"/>
    <w:rsid w:val="004C2F9F"/>
    <w:rsid w:val="004C776A"/>
    <w:rsid w:val="004D0750"/>
    <w:rsid w:val="004D328F"/>
    <w:rsid w:val="004D698C"/>
    <w:rsid w:val="004D7256"/>
    <w:rsid w:val="004E0059"/>
    <w:rsid w:val="004E27A2"/>
    <w:rsid w:val="004E3A66"/>
    <w:rsid w:val="004E5A9C"/>
    <w:rsid w:val="004E6624"/>
    <w:rsid w:val="004E671B"/>
    <w:rsid w:val="004E6DEE"/>
    <w:rsid w:val="004E7408"/>
    <w:rsid w:val="004F0419"/>
    <w:rsid w:val="004F3A47"/>
    <w:rsid w:val="004F3FE9"/>
    <w:rsid w:val="004F5AE9"/>
    <w:rsid w:val="004F5BC3"/>
    <w:rsid w:val="004F65BE"/>
    <w:rsid w:val="005011CB"/>
    <w:rsid w:val="005123E5"/>
    <w:rsid w:val="00512A61"/>
    <w:rsid w:val="00513A28"/>
    <w:rsid w:val="00513BC4"/>
    <w:rsid w:val="005142EC"/>
    <w:rsid w:val="005143DE"/>
    <w:rsid w:val="0051540F"/>
    <w:rsid w:val="005155D6"/>
    <w:rsid w:val="00516081"/>
    <w:rsid w:val="005163F6"/>
    <w:rsid w:val="00522038"/>
    <w:rsid w:val="005223CA"/>
    <w:rsid w:val="0052275E"/>
    <w:rsid w:val="00522D94"/>
    <w:rsid w:val="0052301A"/>
    <w:rsid w:val="00524F87"/>
    <w:rsid w:val="00525ED2"/>
    <w:rsid w:val="00526714"/>
    <w:rsid w:val="00526720"/>
    <w:rsid w:val="00527C0C"/>
    <w:rsid w:val="00530D97"/>
    <w:rsid w:val="00531215"/>
    <w:rsid w:val="005357CD"/>
    <w:rsid w:val="00536018"/>
    <w:rsid w:val="00536993"/>
    <w:rsid w:val="00537E65"/>
    <w:rsid w:val="00542520"/>
    <w:rsid w:val="00544B22"/>
    <w:rsid w:val="00545295"/>
    <w:rsid w:val="00545480"/>
    <w:rsid w:val="00546304"/>
    <w:rsid w:val="005467CF"/>
    <w:rsid w:val="00551185"/>
    <w:rsid w:val="005519CD"/>
    <w:rsid w:val="00551B4E"/>
    <w:rsid w:val="00553CF2"/>
    <w:rsid w:val="00554293"/>
    <w:rsid w:val="00555F0D"/>
    <w:rsid w:val="00556B6F"/>
    <w:rsid w:val="005602F2"/>
    <w:rsid w:val="00561A00"/>
    <w:rsid w:val="005629DF"/>
    <w:rsid w:val="00562B6D"/>
    <w:rsid w:val="00562EB9"/>
    <w:rsid w:val="005636A8"/>
    <w:rsid w:val="00563E2B"/>
    <w:rsid w:val="00564145"/>
    <w:rsid w:val="005659D9"/>
    <w:rsid w:val="00565BCF"/>
    <w:rsid w:val="005662C7"/>
    <w:rsid w:val="00567DFB"/>
    <w:rsid w:val="005719B5"/>
    <w:rsid w:val="0057230E"/>
    <w:rsid w:val="005727D1"/>
    <w:rsid w:val="00573373"/>
    <w:rsid w:val="005744E0"/>
    <w:rsid w:val="00575CCC"/>
    <w:rsid w:val="00576A89"/>
    <w:rsid w:val="00585898"/>
    <w:rsid w:val="00585EB4"/>
    <w:rsid w:val="00587070"/>
    <w:rsid w:val="0058732C"/>
    <w:rsid w:val="00587B77"/>
    <w:rsid w:val="00591985"/>
    <w:rsid w:val="005936A1"/>
    <w:rsid w:val="005953FE"/>
    <w:rsid w:val="00595C70"/>
    <w:rsid w:val="00595E7F"/>
    <w:rsid w:val="005A1B0B"/>
    <w:rsid w:val="005A2A45"/>
    <w:rsid w:val="005A2ABC"/>
    <w:rsid w:val="005A5717"/>
    <w:rsid w:val="005B5F66"/>
    <w:rsid w:val="005B6F7A"/>
    <w:rsid w:val="005B71CA"/>
    <w:rsid w:val="005C088E"/>
    <w:rsid w:val="005C1EC3"/>
    <w:rsid w:val="005C4222"/>
    <w:rsid w:val="005C550B"/>
    <w:rsid w:val="005C5CEA"/>
    <w:rsid w:val="005C7F65"/>
    <w:rsid w:val="005D0855"/>
    <w:rsid w:val="005D0EC0"/>
    <w:rsid w:val="005D2457"/>
    <w:rsid w:val="005D2A3D"/>
    <w:rsid w:val="005D43B7"/>
    <w:rsid w:val="005D549A"/>
    <w:rsid w:val="005D5A91"/>
    <w:rsid w:val="005D7592"/>
    <w:rsid w:val="005E3F3D"/>
    <w:rsid w:val="005E7E5B"/>
    <w:rsid w:val="005F1463"/>
    <w:rsid w:val="005F522C"/>
    <w:rsid w:val="005F5D04"/>
    <w:rsid w:val="005F66C8"/>
    <w:rsid w:val="005F7691"/>
    <w:rsid w:val="005F76D5"/>
    <w:rsid w:val="0060001C"/>
    <w:rsid w:val="00600219"/>
    <w:rsid w:val="00606CB6"/>
    <w:rsid w:val="00607474"/>
    <w:rsid w:val="0061067A"/>
    <w:rsid w:val="006110C2"/>
    <w:rsid w:val="006121E6"/>
    <w:rsid w:val="006123B6"/>
    <w:rsid w:val="00613AFF"/>
    <w:rsid w:val="00613CC2"/>
    <w:rsid w:val="00615768"/>
    <w:rsid w:val="006173FA"/>
    <w:rsid w:val="0062092B"/>
    <w:rsid w:val="006227FA"/>
    <w:rsid w:val="00622833"/>
    <w:rsid w:val="00622FDC"/>
    <w:rsid w:val="006233A2"/>
    <w:rsid w:val="0062505F"/>
    <w:rsid w:val="006308FA"/>
    <w:rsid w:val="00632E18"/>
    <w:rsid w:val="00636944"/>
    <w:rsid w:val="00637B2A"/>
    <w:rsid w:val="00640851"/>
    <w:rsid w:val="00640EE8"/>
    <w:rsid w:val="00641759"/>
    <w:rsid w:val="00643C2A"/>
    <w:rsid w:val="00651670"/>
    <w:rsid w:val="006519F8"/>
    <w:rsid w:val="00654D64"/>
    <w:rsid w:val="006559B0"/>
    <w:rsid w:val="00656185"/>
    <w:rsid w:val="00656215"/>
    <w:rsid w:val="00656663"/>
    <w:rsid w:val="006569E2"/>
    <w:rsid w:val="00656F2F"/>
    <w:rsid w:val="006579C7"/>
    <w:rsid w:val="006610D4"/>
    <w:rsid w:val="00661670"/>
    <w:rsid w:val="00662214"/>
    <w:rsid w:val="006647E1"/>
    <w:rsid w:val="00664E1D"/>
    <w:rsid w:val="00666044"/>
    <w:rsid w:val="00671362"/>
    <w:rsid w:val="00671A92"/>
    <w:rsid w:val="00671B71"/>
    <w:rsid w:val="0067260C"/>
    <w:rsid w:val="0067435C"/>
    <w:rsid w:val="00674763"/>
    <w:rsid w:val="00676125"/>
    <w:rsid w:val="00676749"/>
    <w:rsid w:val="00680EDE"/>
    <w:rsid w:val="00681B88"/>
    <w:rsid w:val="00682E51"/>
    <w:rsid w:val="00683C85"/>
    <w:rsid w:val="006875EF"/>
    <w:rsid w:val="00691499"/>
    <w:rsid w:val="00691B4A"/>
    <w:rsid w:val="00692540"/>
    <w:rsid w:val="00692A6D"/>
    <w:rsid w:val="0069305D"/>
    <w:rsid w:val="00693E80"/>
    <w:rsid w:val="00694320"/>
    <w:rsid w:val="006A0743"/>
    <w:rsid w:val="006A0AC1"/>
    <w:rsid w:val="006A0F3B"/>
    <w:rsid w:val="006A2D90"/>
    <w:rsid w:val="006A37FD"/>
    <w:rsid w:val="006A5F14"/>
    <w:rsid w:val="006A65B9"/>
    <w:rsid w:val="006B0A05"/>
    <w:rsid w:val="006B116C"/>
    <w:rsid w:val="006B3319"/>
    <w:rsid w:val="006B37CE"/>
    <w:rsid w:val="006B4733"/>
    <w:rsid w:val="006B4B4C"/>
    <w:rsid w:val="006B4DCA"/>
    <w:rsid w:val="006B5129"/>
    <w:rsid w:val="006B5690"/>
    <w:rsid w:val="006C2C02"/>
    <w:rsid w:val="006C3DC5"/>
    <w:rsid w:val="006C46E1"/>
    <w:rsid w:val="006C5325"/>
    <w:rsid w:val="006C5796"/>
    <w:rsid w:val="006C680C"/>
    <w:rsid w:val="006C7536"/>
    <w:rsid w:val="006D2216"/>
    <w:rsid w:val="006D2BB6"/>
    <w:rsid w:val="006D5EB9"/>
    <w:rsid w:val="006D6508"/>
    <w:rsid w:val="006D694D"/>
    <w:rsid w:val="006D73F8"/>
    <w:rsid w:val="006D7402"/>
    <w:rsid w:val="006E17FF"/>
    <w:rsid w:val="006E1C02"/>
    <w:rsid w:val="006E4AB2"/>
    <w:rsid w:val="006E56A4"/>
    <w:rsid w:val="006F13BD"/>
    <w:rsid w:val="006F3D28"/>
    <w:rsid w:val="006F42FC"/>
    <w:rsid w:val="006F4920"/>
    <w:rsid w:val="006F4B6B"/>
    <w:rsid w:val="006F4F6C"/>
    <w:rsid w:val="006F580B"/>
    <w:rsid w:val="006F5BEE"/>
    <w:rsid w:val="00701608"/>
    <w:rsid w:val="007024A1"/>
    <w:rsid w:val="00703493"/>
    <w:rsid w:val="00706429"/>
    <w:rsid w:val="00706B35"/>
    <w:rsid w:val="00710302"/>
    <w:rsid w:val="007116A3"/>
    <w:rsid w:val="007142F7"/>
    <w:rsid w:val="007163FB"/>
    <w:rsid w:val="00725CA6"/>
    <w:rsid w:val="00727433"/>
    <w:rsid w:val="00733013"/>
    <w:rsid w:val="00737532"/>
    <w:rsid w:val="0073770E"/>
    <w:rsid w:val="00737FF3"/>
    <w:rsid w:val="007400ED"/>
    <w:rsid w:val="00740985"/>
    <w:rsid w:val="0074210C"/>
    <w:rsid w:val="007428F1"/>
    <w:rsid w:val="00745938"/>
    <w:rsid w:val="007464D6"/>
    <w:rsid w:val="00746811"/>
    <w:rsid w:val="007514AA"/>
    <w:rsid w:val="00751E0A"/>
    <w:rsid w:val="00753AF2"/>
    <w:rsid w:val="00753D6A"/>
    <w:rsid w:val="007555FC"/>
    <w:rsid w:val="00755E4B"/>
    <w:rsid w:val="007566FA"/>
    <w:rsid w:val="00757179"/>
    <w:rsid w:val="0076387A"/>
    <w:rsid w:val="0076577D"/>
    <w:rsid w:val="00765966"/>
    <w:rsid w:val="0076605B"/>
    <w:rsid w:val="00770A96"/>
    <w:rsid w:val="007722F7"/>
    <w:rsid w:val="007744AA"/>
    <w:rsid w:val="00777662"/>
    <w:rsid w:val="007811F2"/>
    <w:rsid w:val="007815BC"/>
    <w:rsid w:val="0078174B"/>
    <w:rsid w:val="00781A82"/>
    <w:rsid w:val="00782EA4"/>
    <w:rsid w:val="00784C23"/>
    <w:rsid w:val="007869DD"/>
    <w:rsid w:val="00790F93"/>
    <w:rsid w:val="00793877"/>
    <w:rsid w:val="00793F34"/>
    <w:rsid w:val="00795D79"/>
    <w:rsid w:val="007966C3"/>
    <w:rsid w:val="00797EDF"/>
    <w:rsid w:val="007A21A8"/>
    <w:rsid w:val="007A3593"/>
    <w:rsid w:val="007A49C2"/>
    <w:rsid w:val="007A5D93"/>
    <w:rsid w:val="007B1D4C"/>
    <w:rsid w:val="007B23DA"/>
    <w:rsid w:val="007C0924"/>
    <w:rsid w:val="007C0B87"/>
    <w:rsid w:val="007C15DC"/>
    <w:rsid w:val="007C2C1A"/>
    <w:rsid w:val="007C5B2E"/>
    <w:rsid w:val="007C6C55"/>
    <w:rsid w:val="007C6D46"/>
    <w:rsid w:val="007C7878"/>
    <w:rsid w:val="007D2C7A"/>
    <w:rsid w:val="007D6708"/>
    <w:rsid w:val="007E040B"/>
    <w:rsid w:val="007E1D72"/>
    <w:rsid w:val="007E50B8"/>
    <w:rsid w:val="007E5CEA"/>
    <w:rsid w:val="007E75FF"/>
    <w:rsid w:val="007F00D9"/>
    <w:rsid w:val="007F05C8"/>
    <w:rsid w:val="007F238D"/>
    <w:rsid w:val="007F2C80"/>
    <w:rsid w:val="007F3820"/>
    <w:rsid w:val="007F4144"/>
    <w:rsid w:val="007F486E"/>
    <w:rsid w:val="007F5C0B"/>
    <w:rsid w:val="007F7A56"/>
    <w:rsid w:val="00802665"/>
    <w:rsid w:val="00802D60"/>
    <w:rsid w:val="00807620"/>
    <w:rsid w:val="0081084A"/>
    <w:rsid w:val="00811580"/>
    <w:rsid w:val="00811EF3"/>
    <w:rsid w:val="00811FED"/>
    <w:rsid w:val="0081610B"/>
    <w:rsid w:val="008165AC"/>
    <w:rsid w:val="00816D78"/>
    <w:rsid w:val="00817930"/>
    <w:rsid w:val="00821D15"/>
    <w:rsid w:val="008230AA"/>
    <w:rsid w:val="00824C33"/>
    <w:rsid w:val="00825280"/>
    <w:rsid w:val="008254CE"/>
    <w:rsid w:val="008313BC"/>
    <w:rsid w:val="00831772"/>
    <w:rsid w:val="0083188D"/>
    <w:rsid w:val="008321AE"/>
    <w:rsid w:val="00834A8C"/>
    <w:rsid w:val="00836F36"/>
    <w:rsid w:val="00837F97"/>
    <w:rsid w:val="00841204"/>
    <w:rsid w:val="0084256B"/>
    <w:rsid w:val="00844683"/>
    <w:rsid w:val="00845628"/>
    <w:rsid w:val="008458DB"/>
    <w:rsid w:val="00850DF9"/>
    <w:rsid w:val="0085701F"/>
    <w:rsid w:val="0085730D"/>
    <w:rsid w:val="00857884"/>
    <w:rsid w:val="008613AE"/>
    <w:rsid w:val="00862B41"/>
    <w:rsid w:val="00864DF6"/>
    <w:rsid w:val="00865B05"/>
    <w:rsid w:val="008660EE"/>
    <w:rsid w:val="00867915"/>
    <w:rsid w:val="00867AD1"/>
    <w:rsid w:val="00870AA0"/>
    <w:rsid w:val="00871111"/>
    <w:rsid w:val="00873A51"/>
    <w:rsid w:val="0087573E"/>
    <w:rsid w:val="00882679"/>
    <w:rsid w:val="008840B2"/>
    <w:rsid w:val="0088427B"/>
    <w:rsid w:val="00885577"/>
    <w:rsid w:val="00885743"/>
    <w:rsid w:val="00885927"/>
    <w:rsid w:val="0088605A"/>
    <w:rsid w:val="00886F3C"/>
    <w:rsid w:val="00887614"/>
    <w:rsid w:val="00890FB4"/>
    <w:rsid w:val="00891B48"/>
    <w:rsid w:val="008948FA"/>
    <w:rsid w:val="008949D5"/>
    <w:rsid w:val="00895C17"/>
    <w:rsid w:val="00896F7F"/>
    <w:rsid w:val="008A0EEB"/>
    <w:rsid w:val="008A151F"/>
    <w:rsid w:val="008A50CA"/>
    <w:rsid w:val="008B1F08"/>
    <w:rsid w:val="008B2A37"/>
    <w:rsid w:val="008B5F87"/>
    <w:rsid w:val="008C173F"/>
    <w:rsid w:val="008C1B54"/>
    <w:rsid w:val="008C24B3"/>
    <w:rsid w:val="008C53C7"/>
    <w:rsid w:val="008C7C3D"/>
    <w:rsid w:val="008C7EEB"/>
    <w:rsid w:val="008D18D4"/>
    <w:rsid w:val="008D34DC"/>
    <w:rsid w:val="008D719A"/>
    <w:rsid w:val="008D7B5A"/>
    <w:rsid w:val="008E0D1F"/>
    <w:rsid w:val="008E1BD9"/>
    <w:rsid w:val="008E2EF5"/>
    <w:rsid w:val="008E5FA9"/>
    <w:rsid w:val="008E7311"/>
    <w:rsid w:val="008F09B5"/>
    <w:rsid w:val="008F24D8"/>
    <w:rsid w:val="008F3070"/>
    <w:rsid w:val="008F48DD"/>
    <w:rsid w:val="008F5A48"/>
    <w:rsid w:val="008F6F71"/>
    <w:rsid w:val="008F77BB"/>
    <w:rsid w:val="008F7964"/>
    <w:rsid w:val="00902EE0"/>
    <w:rsid w:val="00906020"/>
    <w:rsid w:val="00906314"/>
    <w:rsid w:val="0090699E"/>
    <w:rsid w:val="00906FDE"/>
    <w:rsid w:val="0091029C"/>
    <w:rsid w:val="00911B6A"/>
    <w:rsid w:val="00912984"/>
    <w:rsid w:val="009140BF"/>
    <w:rsid w:val="009142E9"/>
    <w:rsid w:val="00914D8A"/>
    <w:rsid w:val="00914FF6"/>
    <w:rsid w:val="00916038"/>
    <w:rsid w:val="0091780C"/>
    <w:rsid w:val="00920019"/>
    <w:rsid w:val="00921A67"/>
    <w:rsid w:val="00922106"/>
    <w:rsid w:val="00922B5F"/>
    <w:rsid w:val="00926760"/>
    <w:rsid w:val="0092763D"/>
    <w:rsid w:val="00931D0D"/>
    <w:rsid w:val="0093352A"/>
    <w:rsid w:val="00933C26"/>
    <w:rsid w:val="009355AB"/>
    <w:rsid w:val="009361BE"/>
    <w:rsid w:val="00936731"/>
    <w:rsid w:val="00941803"/>
    <w:rsid w:val="00942EA0"/>
    <w:rsid w:val="0094488C"/>
    <w:rsid w:val="009474BE"/>
    <w:rsid w:val="00947578"/>
    <w:rsid w:val="009478A8"/>
    <w:rsid w:val="00951635"/>
    <w:rsid w:val="009518B8"/>
    <w:rsid w:val="00954071"/>
    <w:rsid w:val="0095409E"/>
    <w:rsid w:val="00954287"/>
    <w:rsid w:val="0095441F"/>
    <w:rsid w:val="009555DC"/>
    <w:rsid w:val="00956535"/>
    <w:rsid w:val="009575F1"/>
    <w:rsid w:val="009579D4"/>
    <w:rsid w:val="00960592"/>
    <w:rsid w:val="0096424E"/>
    <w:rsid w:val="009651F8"/>
    <w:rsid w:val="00966016"/>
    <w:rsid w:val="00971DAA"/>
    <w:rsid w:val="00973E64"/>
    <w:rsid w:val="00973F22"/>
    <w:rsid w:val="00975224"/>
    <w:rsid w:val="00975D9B"/>
    <w:rsid w:val="00980FD4"/>
    <w:rsid w:val="00981F36"/>
    <w:rsid w:val="00981FC6"/>
    <w:rsid w:val="00982557"/>
    <w:rsid w:val="00982A0B"/>
    <w:rsid w:val="00983057"/>
    <w:rsid w:val="00983FBC"/>
    <w:rsid w:val="00991138"/>
    <w:rsid w:val="009914A1"/>
    <w:rsid w:val="00992882"/>
    <w:rsid w:val="00993526"/>
    <w:rsid w:val="0099386C"/>
    <w:rsid w:val="00993C98"/>
    <w:rsid w:val="00994CDF"/>
    <w:rsid w:val="00996099"/>
    <w:rsid w:val="00996AB7"/>
    <w:rsid w:val="00996ACD"/>
    <w:rsid w:val="009971C4"/>
    <w:rsid w:val="00997F4E"/>
    <w:rsid w:val="009A08EB"/>
    <w:rsid w:val="009A0D74"/>
    <w:rsid w:val="009A0EAD"/>
    <w:rsid w:val="009A11E0"/>
    <w:rsid w:val="009A2C38"/>
    <w:rsid w:val="009A6A85"/>
    <w:rsid w:val="009A6F4C"/>
    <w:rsid w:val="009A7889"/>
    <w:rsid w:val="009A7961"/>
    <w:rsid w:val="009B57D9"/>
    <w:rsid w:val="009B5829"/>
    <w:rsid w:val="009B71E7"/>
    <w:rsid w:val="009C0BF5"/>
    <w:rsid w:val="009C1C60"/>
    <w:rsid w:val="009C1ECA"/>
    <w:rsid w:val="009C3672"/>
    <w:rsid w:val="009C37EF"/>
    <w:rsid w:val="009C3912"/>
    <w:rsid w:val="009C4ECA"/>
    <w:rsid w:val="009C67C3"/>
    <w:rsid w:val="009C6895"/>
    <w:rsid w:val="009C7C28"/>
    <w:rsid w:val="009D2B13"/>
    <w:rsid w:val="009D3F70"/>
    <w:rsid w:val="009D6842"/>
    <w:rsid w:val="009E0428"/>
    <w:rsid w:val="009E13A9"/>
    <w:rsid w:val="009E2509"/>
    <w:rsid w:val="009E263B"/>
    <w:rsid w:val="009E45DA"/>
    <w:rsid w:val="009E77DD"/>
    <w:rsid w:val="009F1DD4"/>
    <w:rsid w:val="009F2D2A"/>
    <w:rsid w:val="009F2DC5"/>
    <w:rsid w:val="009F4D73"/>
    <w:rsid w:val="009F51FA"/>
    <w:rsid w:val="009F6A4C"/>
    <w:rsid w:val="00A00E06"/>
    <w:rsid w:val="00A02BB6"/>
    <w:rsid w:val="00A02C41"/>
    <w:rsid w:val="00A031BA"/>
    <w:rsid w:val="00A03E22"/>
    <w:rsid w:val="00A04E9D"/>
    <w:rsid w:val="00A04F19"/>
    <w:rsid w:val="00A1092B"/>
    <w:rsid w:val="00A157D0"/>
    <w:rsid w:val="00A16DE9"/>
    <w:rsid w:val="00A170A4"/>
    <w:rsid w:val="00A2126D"/>
    <w:rsid w:val="00A23730"/>
    <w:rsid w:val="00A24C93"/>
    <w:rsid w:val="00A2765E"/>
    <w:rsid w:val="00A27936"/>
    <w:rsid w:val="00A27C22"/>
    <w:rsid w:val="00A3068F"/>
    <w:rsid w:val="00A30CA5"/>
    <w:rsid w:val="00A30F1A"/>
    <w:rsid w:val="00A311F7"/>
    <w:rsid w:val="00A316B6"/>
    <w:rsid w:val="00A31CA5"/>
    <w:rsid w:val="00A31E6E"/>
    <w:rsid w:val="00A36789"/>
    <w:rsid w:val="00A367D4"/>
    <w:rsid w:val="00A367DB"/>
    <w:rsid w:val="00A379EC"/>
    <w:rsid w:val="00A406F1"/>
    <w:rsid w:val="00A4098A"/>
    <w:rsid w:val="00A40E55"/>
    <w:rsid w:val="00A41BB7"/>
    <w:rsid w:val="00A42095"/>
    <w:rsid w:val="00A437A9"/>
    <w:rsid w:val="00A45CE8"/>
    <w:rsid w:val="00A46553"/>
    <w:rsid w:val="00A4673F"/>
    <w:rsid w:val="00A472D6"/>
    <w:rsid w:val="00A475FA"/>
    <w:rsid w:val="00A503D3"/>
    <w:rsid w:val="00A50671"/>
    <w:rsid w:val="00A523CA"/>
    <w:rsid w:val="00A52C99"/>
    <w:rsid w:val="00A54B7A"/>
    <w:rsid w:val="00A55C05"/>
    <w:rsid w:val="00A56149"/>
    <w:rsid w:val="00A5650A"/>
    <w:rsid w:val="00A6037E"/>
    <w:rsid w:val="00A615AD"/>
    <w:rsid w:val="00A61619"/>
    <w:rsid w:val="00A617CF"/>
    <w:rsid w:val="00A62524"/>
    <w:rsid w:val="00A63A81"/>
    <w:rsid w:val="00A66108"/>
    <w:rsid w:val="00A70CA9"/>
    <w:rsid w:val="00A7167E"/>
    <w:rsid w:val="00A72A18"/>
    <w:rsid w:val="00A72B27"/>
    <w:rsid w:val="00A72FC9"/>
    <w:rsid w:val="00A7367D"/>
    <w:rsid w:val="00A7449D"/>
    <w:rsid w:val="00A77C5B"/>
    <w:rsid w:val="00A81CE5"/>
    <w:rsid w:val="00A86881"/>
    <w:rsid w:val="00A874EE"/>
    <w:rsid w:val="00A906EB"/>
    <w:rsid w:val="00A91736"/>
    <w:rsid w:val="00A91AE1"/>
    <w:rsid w:val="00A92C60"/>
    <w:rsid w:val="00A930A1"/>
    <w:rsid w:val="00A95CEE"/>
    <w:rsid w:val="00AA0185"/>
    <w:rsid w:val="00AA0EF6"/>
    <w:rsid w:val="00AA1068"/>
    <w:rsid w:val="00AA2B41"/>
    <w:rsid w:val="00AA30B8"/>
    <w:rsid w:val="00AA31CA"/>
    <w:rsid w:val="00AA36EC"/>
    <w:rsid w:val="00AA4781"/>
    <w:rsid w:val="00AA4E44"/>
    <w:rsid w:val="00AA531E"/>
    <w:rsid w:val="00AA59C7"/>
    <w:rsid w:val="00AA77B7"/>
    <w:rsid w:val="00AA7DE2"/>
    <w:rsid w:val="00AB0956"/>
    <w:rsid w:val="00AB0A42"/>
    <w:rsid w:val="00AB0F24"/>
    <w:rsid w:val="00AB37AF"/>
    <w:rsid w:val="00AB3B08"/>
    <w:rsid w:val="00AB483C"/>
    <w:rsid w:val="00AB5C57"/>
    <w:rsid w:val="00AB62E3"/>
    <w:rsid w:val="00AB74B3"/>
    <w:rsid w:val="00AC0D39"/>
    <w:rsid w:val="00AC1983"/>
    <w:rsid w:val="00AC239D"/>
    <w:rsid w:val="00AC6A60"/>
    <w:rsid w:val="00AC714C"/>
    <w:rsid w:val="00AD099C"/>
    <w:rsid w:val="00AD118A"/>
    <w:rsid w:val="00AD52C2"/>
    <w:rsid w:val="00AD584F"/>
    <w:rsid w:val="00AD5DDB"/>
    <w:rsid w:val="00AD6B0A"/>
    <w:rsid w:val="00AD7254"/>
    <w:rsid w:val="00AD7344"/>
    <w:rsid w:val="00AE1202"/>
    <w:rsid w:val="00AE131A"/>
    <w:rsid w:val="00AE1947"/>
    <w:rsid w:val="00AE2C6E"/>
    <w:rsid w:val="00AE33DB"/>
    <w:rsid w:val="00AE45E9"/>
    <w:rsid w:val="00AE4842"/>
    <w:rsid w:val="00AE5712"/>
    <w:rsid w:val="00AE77A9"/>
    <w:rsid w:val="00AF13A7"/>
    <w:rsid w:val="00AF17D6"/>
    <w:rsid w:val="00AF1B05"/>
    <w:rsid w:val="00AF4A72"/>
    <w:rsid w:val="00AF51A5"/>
    <w:rsid w:val="00B0108D"/>
    <w:rsid w:val="00B019C1"/>
    <w:rsid w:val="00B037A3"/>
    <w:rsid w:val="00B040AF"/>
    <w:rsid w:val="00B074F7"/>
    <w:rsid w:val="00B076C8"/>
    <w:rsid w:val="00B13236"/>
    <w:rsid w:val="00B1334A"/>
    <w:rsid w:val="00B133C9"/>
    <w:rsid w:val="00B14643"/>
    <w:rsid w:val="00B15B3B"/>
    <w:rsid w:val="00B17C4E"/>
    <w:rsid w:val="00B17E3B"/>
    <w:rsid w:val="00B17ED0"/>
    <w:rsid w:val="00B20650"/>
    <w:rsid w:val="00B22B39"/>
    <w:rsid w:val="00B23C32"/>
    <w:rsid w:val="00B24695"/>
    <w:rsid w:val="00B25FD1"/>
    <w:rsid w:val="00B266EB"/>
    <w:rsid w:val="00B26814"/>
    <w:rsid w:val="00B27E17"/>
    <w:rsid w:val="00B3050E"/>
    <w:rsid w:val="00B33EC1"/>
    <w:rsid w:val="00B344C6"/>
    <w:rsid w:val="00B34651"/>
    <w:rsid w:val="00B34693"/>
    <w:rsid w:val="00B34CF2"/>
    <w:rsid w:val="00B34DB2"/>
    <w:rsid w:val="00B35588"/>
    <w:rsid w:val="00B368C4"/>
    <w:rsid w:val="00B375B1"/>
    <w:rsid w:val="00B377E7"/>
    <w:rsid w:val="00B37F93"/>
    <w:rsid w:val="00B44153"/>
    <w:rsid w:val="00B4713A"/>
    <w:rsid w:val="00B51AB9"/>
    <w:rsid w:val="00B52543"/>
    <w:rsid w:val="00B526F2"/>
    <w:rsid w:val="00B537C4"/>
    <w:rsid w:val="00B55366"/>
    <w:rsid w:val="00B55602"/>
    <w:rsid w:val="00B56385"/>
    <w:rsid w:val="00B61F82"/>
    <w:rsid w:val="00B62B2E"/>
    <w:rsid w:val="00B631D5"/>
    <w:rsid w:val="00B6320E"/>
    <w:rsid w:val="00B64704"/>
    <w:rsid w:val="00B64B59"/>
    <w:rsid w:val="00B657A2"/>
    <w:rsid w:val="00B659CA"/>
    <w:rsid w:val="00B661A0"/>
    <w:rsid w:val="00B67B67"/>
    <w:rsid w:val="00B733C7"/>
    <w:rsid w:val="00B73E79"/>
    <w:rsid w:val="00B756D9"/>
    <w:rsid w:val="00B75BA6"/>
    <w:rsid w:val="00B76314"/>
    <w:rsid w:val="00B76955"/>
    <w:rsid w:val="00B76D7B"/>
    <w:rsid w:val="00B81974"/>
    <w:rsid w:val="00B831DB"/>
    <w:rsid w:val="00B84845"/>
    <w:rsid w:val="00B85E58"/>
    <w:rsid w:val="00B87B20"/>
    <w:rsid w:val="00B901C0"/>
    <w:rsid w:val="00B9040F"/>
    <w:rsid w:val="00B9100C"/>
    <w:rsid w:val="00B9269D"/>
    <w:rsid w:val="00B92F6C"/>
    <w:rsid w:val="00B93EFD"/>
    <w:rsid w:val="00B968A6"/>
    <w:rsid w:val="00BA0055"/>
    <w:rsid w:val="00BA08D3"/>
    <w:rsid w:val="00BA1041"/>
    <w:rsid w:val="00BA7379"/>
    <w:rsid w:val="00BA7974"/>
    <w:rsid w:val="00BB077F"/>
    <w:rsid w:val="00BB1CB1"/>
    <w:rsid w:val="00BB2198"/>
    <w:rsid w:val="00BB3915"/>
    <w:rsid w:val="00BB7AB3"/>
    <w:rsid w:val="00BC19EB"/>
    <w:rsid w:val="00BC1D6C"/>
    <w:rsid w:val="00BC3817"/>
    <w:rsid w:val="00BC7BC8"/>
    <w:rsid w:val="00BD0155"/>
    <w:rsid w:val="00BD0E31"/>
    <w:rsid w:val="00BD1881"/>
    <w:rsid w:val="00BD1F07"/>
    <w:rsid w:val="00BD42F6"/>
    <w:rsid w:val="00BD4505"/>
    <w:rsid w:val="00BD6C92"/>
    <w:rsid w:val="00BD751F"/>
    <w:rsid w:val="00BE0749"/>
    <w:rsid w:val="00BE0E98"/>
    <w:rsid w:val="00BE138F"/>
    <w:rsid w:val="00BE2350"/>
    <w:rsid w:val="00BE41DD"/>
    <w:rsid w:val="00BE4CAE"/>
    <w:rsid w:val="00BE66D5"/>
    <w:rsid w:val="00BE71A8"/>
    <w:rsid w:val="00BF122D"/>
    <w:rsid w:val="00BF1240"/>
    <w:rsid w:val="00BF1FBA"/>
    <w:rsid w:val="00BF29CA"/>
    <w:rsid w:val="00BF2D71"/>
    <w:rsid w:val="00BF317C"/>
    <w:rsid w:val="00BF3C93"/>
    <w:rsid w:val="00BF5007"/>
    <w:rsid w:val="00BF55E8"/>
    <w:rsid w:val="00BF5B18"/>
    <w:rsid w:val="00BF61A3"/>
    <w:rsid w:val="00BF6B76"/>
    <w:rsid w:val="00BF7EC0"/>
    <w:rsid w:val="00C011A6"/>
    <w:rsid w:val="00C034DD"/>
    <w:rsid w:val="00C04287"/>
    <w:rsid w:val="00C05B77"/>
    <w:rsid w:val="00C07373"/>
    <w:rsid w:val="00C13710"/>
    <w:rsid w:val="00C13A00"/>
    <w:rsid w:val="00C17F78"/>
    <w:rsid w:val="00C20D36"/>
    <w:rsid w:val="00C22B65"/>
    <w:rsid w:val="00C3094C"/>
    <w:rsid w:val="00C32F1E"/>
    <w:rsid w:val="00C363A0"/>
    <w:rsid w:val="00C372CE"/>
    <w:rsid w:val="00C40658"/>
    <w:rsid w:val="00C40EE4"/>
    <w:rsid w:val="00C41F06"/>
    <w:rsid w:val="00C42258"/>
    <w:rsid w:val="00C42CEA"/>
    <w:rsid w:val="00C440FF"/>
    <w:rsid w:val="00C5069C"/>
    <w:rsid w:val="00C5209B"/>
    <w:rsid w:val="00C60C5C"/>
    <w:rsid w:val="00C612BE"/>
    <w:rsid w:val="00C615AD"/>
    <w:rsid w:val="00C660A4"/>
    <w:rsid w:val="00C66FF0"/>
    <w:rsid w:val="00C71A83"/>
    <w:rsid w:val="00C7271C"/>
    <w:rsid w:val="00C72839"/>
    <w:rsid w:val="00C73416"/>
    <w:rsid w:val="00C734FB"/>
    <w:rsid w:val="00C74B66"/>
    <w:rsid w:val="00C763FB"/>
    <w:rsid w:val="00C80838"/>
    <w:rsid w:val="00C82B2F"/>
    <w:rsid w:val="00C83D67"/>
    <w:rsid w:val="00C84A72"/>
    <w:rsid w:val="00C858E7"/>
    <w:rsid w:val="00C86278"/>
    <w:rsid w:val="00C87382"/>
    <w:rsid w:val="00C87B89"/>
    <w:rsid w:val="00C91AA4"/>
    <w:rsid w:val="00C91DC7"/>
    <w:rsid w:val="00C93E22"/>
    <w:rsid w:val="00C94B25"/>
    <w:rsid w:val="00C959FB"/>
    <w:rsid w:val="00C96C71"/>
    <w:rsid w:val="00C97398"/>
    <w:rsid w:val="00CA059E"/>
    <w:rsid w:val="00CA2551"/>
    <w:rsid w:val="00CA37A9"/>
    <w:rsid w:val="00CA531D"/>
    <w:rsid w:val="00CA6707"/>
    <w:rsid w:val="00CB2711"/>
    <w:rsid w:val="00CB2956"/>
    <w:rsid w:val="00CB3125"/>
    <w:rsid w:val="00CB7A5B"/>
    <w:rsid w:val="00CC154C"/>
    <w:rsid w:val="00CC1B33"/>
    <w:rsid w:val="00CC381A"/>
    <w:rsid w:val="00CC4FFB"/>
    <w:rsid w:val="00CC5EFC"/>
    <w:rsid w:val="00CC5FB7"/>
    <w:rsid w:val="00CC6315"/>
    <w:rsid w:val="00CC6668"/>
    <w:rsid w:val="00CD0622"/>
    <w:rsid w:val="00CD0BA6"/>
    <w:rsid w:val="00CD16DE"/>
    <w:rsid w:val="00CD2FEB"/>
    <w:rsid w:val="00CD4751"/>
    <w:rsid w:val="00CD49C1"/>
    <w:rsid w:val="00CD5D4F"/>
    <w:rsid w:val="00CD7B3E"/>
    <w:rsid w:val="00CE1953"/>
    <w:rsid w:val="00CE2491"/>
    <w:rsid w:val="00CE2E6C"/>
    <w:rsid w:val="00CE5DA3"/>
    <w:rsid w:val="00CF29CE"/>
    <w:rsid w:val="00CF3CA0"/>
    <w:rsid w:val="00CF4521"/>
    <w:rsid w:val="00CF6EC9"/>
    <w:rsid w:val="00CF6F14"/>
    <w:rsid w:val="00CF765D"/>
    <w:rsid w:val="00CF7BB7"/>
    <w:rsid w:val="00D00BA2"/>
    <w:rsid w:val="00D04B15"/>
    <w:rsid w:val="00D1001E"/>
    <w:rsid w:val="00D10853"/>
    <w:rsid w:val="00D1277B"/>
    <w:rsid w:val="00D14BBA"/>
    <w:rsid w:val="00D17033"/>
    <w:rsid w:val="00D20141"/>
    <w:rsid w:val="00D20E1D"/>
    <w:rsid w:val="00D22812"/>
    <w:rsid w:val="00D22E6D"/>
    <w:rsid w:val="00D23BE8"/>
    <w:rsid w:val="00D262B5"/>
    <w:rsid w:val="00D3234C"/>
    <w:rsid w:val="00D3464C"/>
    <w:rsid w:val="00D42A5D"/>
    <w:rsid w:val="00D4313D"/>
    <w:rsid w:val="00D438E5"/>
    <w:rsid w:val="00D43BD1"/>
    <w:rsid w:val="00D46D5D"/>
    <w:rsid w:val="00D50B47"/>
    <w:rsid w:val="00D52B8E"/>
    <w:rsid w:val="00D542F2"/>
    <w:rsid w:val="00D55E40"/>
    <w:rsid w:val="00D56879"/>
    <w:rsid w:val="00D62593"/>
    <w:rsid w:val="00D62C6D"/>
    <w:rsid w:val="00D630F4"/>
    <w:rsid w:val="00D63149"/>
    <w:rsid w:val="00D6343A"/>
    <w:rsid w:val="00D636FF"/>
    <w:rsid w:val="00D6462B"/>
    <w:rsid w:val="00D64DD2"/>
    <w:rsid w:val="00D66478"/>
    <w:rsid w:val="00D66D1E"/>
    <w:rsid w:val="00D73EFD"/>
    <w:rsid w:val="00D75483"/>
    <w:rsid w:val="00D7594B"/>
    <w:rsid w:val="00D80734"/>
    <w:rsid w:val="00D80DA6"/>
    <w:rsid w:val="00D827E3"/>
    <w:rsid w:val="00D84662"/>
    <w:rsid w:val="00D849CF"/>
    <w:rsid w:val="00D85CA9"/>
    <w:rsid w:val="00D91AB5"/>
    <w:rsid w:val="00D94D12"/>
    <w:rsid w:val="00D9592D"/>
    <w:rsid w:val="00DA0774"/>
    <w:rsid w:val="00DA1F6D"/>
    <w:rsid w:val="00DA212F"/>
    <w:rsid w:val="00DA63A2"/>
    <w:rsid w:val="00DB01A9"/>
    <w:rsid w:val="00DB0631"/>
    <w:rsid w:val="00DB0737"/>
    <w:rsid w:val="00DB1E95"/>
    <w:rsid w:val="00DB6370"/>
    <w:rsid w:val="00DB6BC5"/>
    <w:rsid w:val="00DB6E38"/>
    <w:rsid w:val="00DC05F5"/>
    <w:rsid w:val="00DC3193"/>
    <w:rsid w:val="00DC329E"/>
    <w:rsid w:val="00DD265B"/>
    <w:rsid w:val="00DD3FA5"/>
    <w:rsid w:val="00DD4F86"/>
    <w:rsid w:val="00DD5055"/>
    <w:rsid w:val="00DE030F"/>
    <w:rsid w:val="00DE0B61"/>
    <w:rsid w:val="00DE25D4"/>
    <w:rsid w:val="00DE26F6"/>
    <w:rsid w:val="00DE3278"/>
    <w:rsid w:val="00DE3F91"/>
    <w:rsid w:val="00DE4EA2"/>
    <w:rsid w:val="00DE702C"/>
    <w:rsid w:val="00DE7BD4"/>
    <w:rsid w:val="00DE7D4E"/>
    <w:rsid w:val="00DF4F8C"/>
    <w:rsid w:val="00DF5BA6"/>
    <w:rsid w:val="00DF6BDD"/>
    <w:rsid w:val="00DF70CA"/>
    <w:rsid w:val="00E02D1E"/>
    <w:rsid w:val="00E02DFB"/>
    <w:rsid w:val="00E0690C"/>
    <w:rsid w:val="00E104FE"/>
    <w:rsid w:val="00E1059F"/>
    <w:rsid w:val="00E1143C"/>
    <w:rsid w:val="00E13E0A"/>
    <w:rsid w:val="00E13EA2"/>
    <w:rsid w:val="00E15CA2"/>
    <w:rsid w:val="00E163BB"/>
    <w:rsid w:val="00E25D21"/>
    <w:rsid w:val="00E306DC"/>
    <w:rsid w:val="00E31222"/>
    <w:rsid w:val="00E31A09"/>
    <w:rsid w:val="00E33928"/>
    <w:rsid w:val="00E3514D"/>
    <w:rsid w:val="00E4045C"/>
    <w:rsid w:val="00E43842"/>
    <w:rsid w:val="00E4402C"/>
    <w:rsid w:val="00E4515D"/>
    <w:rsid w:val="00E4556E"/>
    <w:rsid w:val="00E50785"/>
    <w:rsid w:val="00E51331"/>
    <w:rsid w:val="00E51E28"/>
    <w:rsid w:val="00E52CE1"/>
    <w:rsid w:val="00E5447C"/>
    <w:rsid w:val="00E54786"/>
    <w:rsid w:val="00E558A1"/>
    <w:rsid w:val="00E61861"/>
    <w:rsid w:val="00E628A5"/>
    <w:rsid w:val="00E6322E"/>
    <w:rsid w:val="00E63F4B"/>
    <w:rsid w:val="00E67064"/>
    <w:rsid w:val="00E70091"/>
    <w:rsid w:val="00E71AA3"/>
    <w:rsid w:val="00E73D85"/>
    <w:rsid w:val="00E752C2"/>
    <w:rsid w:val="00E8113F"/>
    <w:rsid w:val="00E8454A"/>
    <w:rsid w:val="00E84990"/>
    <w:rsid w:val="00E85978"/>
    <w:rsid w:val="00E868E5"/>
    <w:rsid w:val="00E90B7A"/>
    <w:rsid w:val="00E9113C"/>
    <w:rsid w:val="00E914C9"/>
    <w:rsid w:val="00E92B26"/>
    <w:rsid w:val="00E95C32"/>
    <w:rsid w:val="00E95C63"/>
    <w:rsid w:val="00E96062"/>
    <w:rsid w:val="00E96D0A"/>
    <w:rsid w:val="00EA1FE2"/>
    <w:rsid w:val="00EA3342"/>
    <w:rsid w:val="00EB039B"/>
    <w:rsid w:val="00EB1714"/>
    <w:rsid w:val="00EB7CE4"/>
    <w:rsid w:val="00EC739C"/>
    <w:rsid w:val="00ED015C"/>
    <w:rsid w:val="00ED1678"/>
    <w:rsid w:val="00ED4DBA"/>
    <w:rsid w:val="00ED72B7"/>
    <w:rsid w:val="00ED7B00"/>
    <w:rsid w:val="00EE19BF"/>
    <w:rsid w:val="00EE1A2C"/>
    <w:rsid w:val="00EE54CB"/>
    <w:rsid w:val="00EE630A"/>
    <w:rsid w:val="00EF1345"/>
    <w:rsid w:val="00EF1D91"/>
    <w:rsid w:val="00EF1ED4"/>
    <w:rsid w:val="00EF245B"/>
    <w:rsid w:val="00EF4880"/>
    <w:rsid w:val="00EF4AA8"/>
    <w:rsid w:val="00EF5F29"/>
    <w:rsid w:val="00EF6794"/>
    <w:rsid w:val="00EF68A8"/>
    <w:rsid w:val="00EF6CA9"/>
    <w:rsid w:val="00F00B06"/>
    <w:rsid w:val="00F00FE5"/>
    <w:rsid w:val="00F010E8"/>
    <w:rsid w:val="00F01484"/>
    <w:rsid w:val="00F01C69"/>
    <w:rsid w:val="00F039FF"/>
    <w:rsid w:val="00F0657A"/>
    <w:rsid w:val="00F107A3"/>
    <w:rsid w:val="00F21D61"/>
    <w:rsid w:val="00F23E80"/>
    <w:rsid w:val="00F250BE"/>
    <w:rsid w:val="00F25567"/>
    <w:rsid w:val="00F26481"/>
    <w:rsid w:val="00F30A82"/>
    <w:rsid w:val="00F30CF9"/>
    <w:rsid w:val="00F31CDD"/>
    <w:rsid w:val="00F3511F"/>
    <w:rsid w:val="00F37109"/>
    <w:rsid w:val="00F37695"/>
    <w:rsid w:val="00F4057E"/>
    <w:rsid w:val="00F41333"/>
    <w:rsid w:val="00F41D5D"/>
    <w:rsid w:val="00F42456"/>
    <w:rsid w:val="00F45C66"/>
    <w:rsid w:val="00F45D01"/>
    <w:rsid w:val="00F50371"/>
    <w:rsid w:val="00F516B5"/>
    <w:rsid w:val="00F525F9"/>
    <w:rsid w:val="00F53D98"/>
    <w:rsid w:val="00F54B4A"/>
    <w:rsid w:val="00F569E7"/>
    <w:rsid w:val="00F56B05"/>
    <w:rsid w:val="00F57E33"/>
    <w:rsid w:val="00F60E71"/>
    <w:rsid w:val="00F60F0C"/>
    <w:rsid w:val="00F60F2C"/>
    <w:rsid w:val="00F6112C"/>
    <w:rsid w:val="00F61757"/>
    <w:rsid w:val="00F66D44"/>
    <w:rsid w:val="00F6780E"/>
    <w:rsid w:val="00F70A82"/>
    <w:rsid w:val="00F716B0"/>
    <w:rsid w:val="00F7259E"/>
    <w:rsid w:val="00F74DD9"/>
    <w:rsid w:val="00F75263"/>
    <w:rsid w:val="00F7545F"/>
    <w:rsid w:val="00F763D0"/>
    <w:rsid w:val="00F76720"/>
    <w:rsid w:val="00F76ED5"/>
    <w:rsid w:val="00F76FF9"/>
    <w:rsid w:val="00F807CB"/>
    <w:rsid w:val="00F823A6"/>
    <w:rsid w:val="00F833CE"/>
    <w:rsid w:val="00F84FBD"/>
    <w:rsid w:val="00F86166"/>
    <w:rsid w:val="00F86EB0"/>
    <w:rsid w:val="00F92062"/>
    <w:rsid w:val="00F9337E"/>
    <w:rsid w:val="00F95001"/>
    <w:rsid w:val="00F97262"/>
    <w:rsid w:val="00FA0A88"/>
    <w:rsid w:val="00FA1047"/>
    <w:rsid w:val="00FA1635"/>
    <w:rsid w:val="00FA2702"/>
    <w:rsid w:val="00FA2E8D"/>
    <w:rsid w:val="00FA5F21"/>
    <w:rsid w:val="00FB1B81"/>
    <w:rsid w:val="00FB5B83"/>
    <w:rsid w:val="00FC03E2"/>
    <w:rsid w:val="00FC191F"/>
    <w:rsid w:val="00FC3B25"/>
    <w:rsid w:val="00FC449C"/>
    <w:rsid w:val="00FC4654"/>
    <w:rsid w:val="00FC5581"/>
    <w:rsid w:val="00FD00F2"/>
    <w:rsid w:val="00FD1FDD"/>
    <w:rsid w:val="00FD4ED0"/>
    <w:rsid w:val="00FD5686"/>
    <w:rsid w:val="00FE01D2"/>
    <w:rsid w:val="00FE07CF"/>
    <w:rsid w:val="00FE09B8"/>
    <w:rsid w:val="00FE4E37"/>
    <w:rsid w:val="00FE4E99"/>
    <w:rsid w:val="00FE5416"/>
    <w:rsid w:val="00FE551F"/>
    <w:rsid w:val="00FE6456"/>
    <w:rsid w:val="00FE6F1B"/>
    <w:rsid w:val="00FE7B5D"/>
    <w:rsid w:val="00FF00B0"/>
    <w:rsid w:val="00FF1F51"/>
    <w:rsid w:val="00FF2291"/>
    <w:rsid w:val="00FF535C"/>
    <w:rsid w:val="00FF5912"/>
    <w:rsid w:val="00FF5E8F"/>
    <w:rsid w:val="00FF6B4A"/>
    <w:rsid w:val="00FF70F1"/>
    <w:rsid w:val="00FF7595"/>
    <w:rsid w:val="049A10CE"/>
    <w:rsid w:val="04E0028B"/>
    <w:rsid w:val="05C91034"/>
    <w:rsid w:val="06C53355"/>
    <w:rsid w:val="0B3527DD"/>
    <w:rsid w:val="0BE56B27"/>
    <w:rsid w:val="0BF20530"/>
    <w:rsid w:val="148B5481"/>
    <w:rsid w:val="14D0197B"/>
    <w:rsid w:val="184C7D3A"/>
    <w:rsid w:val="19CD3F14"/>
    <w:rsid w:val="1A695DEC"/>
    <w:rsid w:val="1C06244B"/>
    <w:rsid w:val="206110C8"/>
    <w:rsid w:val="24CA7516"/>
    <w:rsid w:val="25577ACA"/>
    <w:rsid w:val="26B37338"/>
    <w:rsid w:val="2BF41A3C"/>
    <w:rsid w:val="343300E7"/>
    <w:rsid w:val="3DC6282B"/>
    <w:rsid w:val="3E84597D"/>
    <w:rsid w:val="3EC53888"/>
    <w:rsid w:val="40344083"/>
    <w:rsid w:val="436C14B6"/>
    <w:rsid w:val="501F3937"/>
    <w:rsid w:val="53D31DD3"/>
    <w:rsid w:val="5A2E6021"/>
    <w:rsid w:val="5A482EDB"/>
    <w:rsid w:val="5AF666AC"/>
    <w:rsid w:val="5C884D19"/>
    <w:rsid w:val="5D385E04"/>
    <w:rsid w:val="5DEC362A"/>
    <w:rsid w:val="65387AF1"/>
    <w:rsid w:val="658F2A42"/>
    <w:rsid w:val="6C1A66AE"/>
    <w:rsid w:val="6F0D06E0"/>
    <w:rsid w:val="6F846E65"/>
    <w:rsid w:val="707C2E4B"/>
    <w:rsid w:val="7C177F5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2"/>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uiPriority="0" w:name="toc 3"/>
    <w:lsdException w:uiPriority="0" w:name="toc 4"/>
    <w:lsdException w:uiPriority="0" w:name="toc 5"/>
    <w:lsdException w:qFormat="1" w:unhideWhenUsed="0"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qFormat="1" w:unhideWhenUsed="0" w:uiPriority="0" w:semiHidden="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tabs>
        <w:tab w:val="left" w:pos="6480"/>
      </w:tabs>
      <w:adjustRightInd w:val="0"/>
      <w:spacing w:before="240" w:after="120" w:line="312" w:lineRule="auto"/>
      <w:jc w:val="left"/>
      <w:textAlignment w:val="baseline"/>
      <w:outlineLvl w:val="0"/>
    </w:pPr>
    <w:rPr>
      <w:rFonts w:ascii="黑体" w:eastAsia="黑体"/>
      <w:b/>
      <w:kern w:val="44"/>
      <w:sz w:val="32"/>
      <w:szCs w:val="20"/>
      <w:lang w:val="sq-AL"/>
    </w:rPr>
  </w:style>
  <w:style w:type="paragraph" w:styleId="3">
    <w:name w:val="heading 2"/>
    <w:basedOn w:val="1"/>
    <w:next w:val="4"/>
    <w:qFormat/>
    <w:uiPriority w:val="0"/>
    <w:pPr>
      <w:keepNext/>
      <w:keepLines/>
      <w:widowControl/>
      <w:numPr>
        <w:ilvl w:val="1"/>
        <w:numId w:val="1"/>
      </w:numPr>
      <w:overflowPunct w:val="0"/>
      <w:autoSpaceDE w:val="0"/>
      <w:autoSpaceDN w:val="0"/>
      <w:adjustRightInd w:val="0"/>
      <w:spacing w:line="200" w:lineRule="atLeast"/>
      <w:textAlignment w:val="baseline"/>
      <w:outlineLvl w:val="1"/>
    </w:pPr>
    <w:rPr>
      <w:rFonts w:ascii="Arial" w:hAnsi="Arial"/>
      <w:b/>
      <w:spacing w:val="-10"/>
      <w:kern w:val="24"/>
      <w:sz w:val="24"/>
      <w:szCs w:val="20"/>
      <w:lang w:val="sq-AL"/>
    </w:rPr>
  </w:style>
  <w:style w:type="paragraph" w:styleId="5">
    <w:name w:val="heading 3"/>
    <w:basedOn w:val="1"/>
    <w:next w:val="1"/>
    <w:link w:val="40"/>
    <w:qFormat/>
    <w:uiPriority w:val="0"/>
    <w:pPr>
      <w:keepNext/>
      <w:keepLines/>
      <w:spacing w:before="260" w:after="260" w:line="416" w:lineRule="auto"/>
      <w:outlineLvl w:val="2"/>
    </w:pPr>
    <w:rPr>
      <w:b/>
      <w:bCs/>
      <w:sz w:val="32"/>
      <w:szCs w:val="32"/>
    </w:rPr>
  </w:style>
  <w:style w:type="paragraph" w:styleId="6">
    <w:name w:val="heading 4"/>
    <w:basedOn w:val="1"/>
    <w:next w:val="1"/>
    <w:link w:val="41"/>
    <w:qFormat/>
    <w:uiPriority w:val="0"/>
    <w:pPr>
      <w:keepNext/>
      <w:keepLines/>
      <w:spacing w:before="280" w:after="290" w:line="376" w:lineRule="auto"/>
      <w:outlineLvl w:val="3"/>
    </w:pPr>
    <w:rPr>
      <w:rFonts w:ascii="Cambria" w:hAnsi="Cambria"/>
      <w:b/>
      <w:bCs/>
      <w:sz w:val="28"/>
      <w:szCs w:val="28"/>
    </w:rPr>
  </w:style>
  <w:style w:type="paragraph" w:styleId="7">
    <w:name w:val="heading 5"/>
    <w:basedOn w:val="1"/>
    <w:next w:val="1"/>
    <w:link w:val="42"/>
    <w:qFormat/>
    <w:uiPriority w:val="0"/>
    <w:pPr>
      <w:keepNext/>
      <w:keepLines/>
      <w:numPr>
        <w:ilvl w:val="4"/>
        <w:numId w:val="2"/>
      </w:numPr>
      <w:spacing w:before="280" w:after="290" w:line="376" w:lineRule="auto"/>
      <w:outlineLvl w:val="4"/>
    </w:pPr>
    <w:rPr>
      <w:b/>
      <w:sz w:val="28"/>
      <w:szCs w:val="20"/>
    </w:rPr>
  </w:style>
  <w:style w:type="paragraph" w:styleId="8">
    <w:name w:val="heading 6"/>
    <w:basedOn w:val="1"/>
    <w:next w:val="1"/>
    <w:link w:val="43"/>
    <w:qFormat/>
    <w:uiPriority w:val="0"/>
    <w:pPr>
      <w:keepNext/>
      <w:keepLines/>
      <w:numPr>
        <w:ilvl w:val="5"/>
        <w:numId w:val="2"/>
      </w:numPr>
      <w:tabs>
        <w:tab w:val="left" w:pos="1125"/>
      </w:tabs>
      <w:spacing w:before="240" w:after="64" w:line="320" w:lineRule="auto"/>
      <w:ind w:left="1125" w:hanging="555"/>
      <w:outlineLvl w:val="5"/>
    </w:pPr>
    <w:rPr>
      <w:rFonts w:ascii="Arial" w:hAnsi="Arial" w:eastAsia="黑体"/>
      <w:b/>
      <w:sz w:val="24"/>
      <w:szCs w:val="20"/>
    </w:rPr>
  </w:style>
  <w:style w:type="paragraph" w:styleId="9">
    <w:name w:val="heading 7"/>
    <w:basedOn w:val="1"/>
    <w:next w:val="1"/>
    <w:link w:val="44"/>
    <w:qFormat/>
    <w:uiPriority w:val="0"/>
    <w:pPr>
      <w:keepNext/>
      <w:keepLines/>
      <w:numPr>
        <w:ilvl w:val="6"/>
        <w:numId w:val="2"/>
      </w:numPr>
      <w:tabs>
        <w:tab w:val="left" w:pos="1125"/>
      </w:tabs>
      <w:spacing w:before="240" w:after="64" w:line="320" w:lineRule="auto"/>
      <w:ind w:left="1125" w:hanging="555"/>
      <w:outlineLvl w:val="6"/>
    </w:pPr>
    <w:rPr>
      <w:b/>
      <w:sz w:val="24"/>
      <w:szCs w:val="20"/>
    </w:rPr>
  </w:style>
  <w:style w:type="paragraph" w:styleId="10">
    <w:name w:val="heading 8"/>
    <w:basedOn w:val="1"/>
    <w:next w:val="1"/>
    <w:link w:val="45"/>
    <w:qFormat/>
    <w:uiPriority w:val="0"/>
    <w:pPr>
      <w:keepNext/>
      <w:keepLines/>
      <w:numPr>
        <w:ilvl w:val="7"/>
        <w:numId w:val="2"/>
      </w:numPr>
      <w:tabs>
        <w:tab w:val="left" w:pos="1125"/>
      </w:tabs>
      <w:spacing w:before="240" w:after="64" w:line="320" w:lineRule="auto"/>
      <w:ind w:left="1125" w:hanging="555"/>
      <w:outlineLvl w:val="7"/>
    </w:pPr>
    <w:rPr>
      <w:rFonts w:ascii="Arial" w:hAnsi="Arial" w:eastAsia="黑体"/>
      <w:sz w:val="24"/>
      <w:szCs w:val="20"/>
    </w:rPr>
  </w:style>
  <w:style w:type="paragraph" w:styleId="11">
    <w:name w:val="heading 9"/>
    <w:basedOn w:val="1"/>
    <w:next w:val="1"/>
    <w:link w:val="46"/>
    <w:qFormat/>
    <w:uiPriority w:val="0"/>
    <w:pPr>
      <w:keepNext/>
      <w:keepLines/>
      <w:numPr>
        <w:ilvl w:val="8"/>
        <w:numId w:val="2"/>
      </w:numPr>
      <w:tabs>
        <w:tab w:val="left" w:pos="1125"/>
      </w:tabs>
      <w:spacing w:before="240" w:after="64" w:line="320" w:lineRule="auto"/>
      <w:ind w:left="1125" w:hanging="555"/>
      <w:outlineLvl w:val="8"/>
    </w:pPr>
    <w:rPr>
      <w:rFonts w:ascii="Arial" w:hAnsi="Arial" w:eastAsia="黑体"/>
      <w:sz w:val="24"/>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4">
    <w:name w:val="Body Text"/>
    <w:basedOn w:val="1"/>
    <w:link w:val="39"/>
    <w:qFormat/>
    <w:uiPriority w:val="0"/>
    <w:rPr>
      <w:rFonts w:ascii="宋体" w:hAnsi="宋体"/>
      <w:sz w:val="30"/>
    </w:rPr>
  </w:style>
  <w:style w:type="paragraph" w:styleId="12">
    <w:name w:val="List 3"/>
    <w:basedOn w:val="1"/>
    <w:qFormat/>
    <w:uiPriority w:val="0"/>
    <w:pPr>
      <w:ind w:left="100" w:leftChars="400" w:hanging="200" w:hangingChars="200"/>
    </w:pPr>
  </w:style>
  <w:style w:type="paragraph" w:styleId="13">
    <w:name w:val="Normal Indent"/>
    <w:basedOn w:val="1"/>
    <w:qFormat/>
    <w:uiPriority w:val="0"/>
    <w:pPr>
      <w:spacing w:line="360" w:lineRule="auto"/>
      <w:ind w:firstLine="420"/>
    </w:pPr>
    <w:rPr>
      <w:sz w:val="24"/>
      <w:szCs w:val="20"/>
    </w:rPr>
  </w:style>
  <w:style w:type="paragraph" w:styleId="14">
    <w:name w:val="caption"/>
    <w:basedOn w:val="1"/>
    <w:next w:val="1"/>
    <w:link w:val="192"/>
    <w:qFormat/>
    <w:uiPriority w:val="0"/>
    <w:pPr>
      <w:spacing w:line="360" w:lineRule="auto"/>
      <w:ind w:firstLine="422" w:firstLineChars="200"/>
      <w:jc w:val="center"/>
      <w:textAlignment w:val="center"/>
    </w:pPr>
    <w:rPr>
      <w:rFonts w:ascii="Calibri Light" w:hAnsi="Calibri Light"/>
      <w:b/>
      <w:szCs w:val="20"/>
      <w:lang w:val="zh-CN"/>
    </w:rPr>
  </w:style>
  <w:style w:type="paragraph" w:styleId="15">
    <w:name w:val="Document Map"/>
    <w:basedOn w:val="1"/>
    <w:semiHidden/>
    <w:qFormat/>
    <w:uiPriority w:val="0"/>
    <w:pPr>
      <w:shd w:val="clear" w:color="auto" w:fill="000080"/>
    </w:pPr>
  </w:style>
  <w:style w:type="paragraph" w:styleId="16">
    <w:name w:val="Body Text 3"/>
    <w:basedOn w:val="1"/>
    <w:link w:val="70"/>
    <w:qFormat/>
    <w:uiPriority w:val="0"/>
    <w:pPr>
      <w:spacing w:after="120"/>
    </w:pPr>
    <w:rPr>
      <w:sz w:val="16"/>
      <w:szCs w:val="16"/>
    </w:rPr>
  </w:style>
  <w:style w:type="paragraph" w:styleId="17">
    <w:name w:val="Body Text Indent"/>
    <w:basedOn w:val="1"/>
    <w:qFormat/>
    <w:uiPriority w:val="0"/>
    <w:pPr>
      <w:ind w:left="552" w:leftChars="263" w:firstLine="560" w:firstLineChars="200"/>
    </w:pPr>
    <w:rPr>
      <w:sz w:val="28"/>
      <w:szCs w:val="20"/>
    </w:rPr>
  </w:style>
  <w:style w:type="paragraph" w:styleId="18">
    <w:name w:val="List 2"/>
    <w:basedOn w:val="1"/>
    <w:qFormat/>
    <w:uiPriority w:val="0"/>
    <w:pPr>
      <w:adjustRightInd w:val="0"/>
      <w:spacing w:line="312" w:lineRule="atLeast"/>
      <w:ind w:left="840" w:hanging="420"/>
      <w:textAlignment w:val="baseline"/>
    </w:pPr>
    <w:rPr>
      <w:kern w:val="0"/>
      <w:sz w:val="24"/>
      <w:szCs w:val="20"/>
    </w:rPr>
  </w:style>
  <w:style w:type="paragraph" w:styleId="19">
    <w:name w:val="Plain Text"/>
    <w:basedOn w:val="1"/>
    <w:qFormat/>
    <w:uiPriority w:val="0"/>
    <w:rPr>
      <w:rFonts w:ascii="宋体" w:hAnsi="Courier New" w:cs="Courier New"/>
      <w:szCs w:val="21"/>
    </w:rPr>
  </w:style>
  <w:style w:type="paragraph" w:styleId="20">
    <w:name w:val="Date"/>
    <w:basedOn w:val="1"/>
    <w:next w:val="1"/>
    <w:qFormat/>
    <w:uiPriority w:val="0"/>
    <w:pPr>
      <w:ind w:left="100" w:leftChars="2500"/>
    </w:pPr>
    <w:rPr>
      <w:rFonts w:ascii="宋体" w:hAnsi="宋体"/>
    </w:rPr>
  </w:style>
  <w:style w:type="paragraph" w:styleId="21">
    <w:name w:val="Body Text Indent 2"/>
    <w:basedOn w:val="1"/>
    <w:link w:val="49"/>
    <w:qFormat/>
    <w:uiPriority w:val="0"/>
    <w:pPr>
      <w:ind w:firstLine="600" w:firstLineChars="200"/>
    </w:pPr>
    <w:rPr>
      <w:rFonts w:ascii="宋体" w:hAnsi="宋体"/>
      <w:sz w:val="30"/>
    </w:rPr>
  </w:style>
  <w:style w:type="paragraph" w:styleId="22">
    <w:name w:val="Balloon Text"/>
    <w:basedOn w:val="1"/>
    <w:link w:val="53"/>
    <w:qFormat/>
    <w:uiPriority w:val="0"/>
    <w:rPr>
      <w:sz w:val="18"/>
      <w:szCs w:val="18"/>
    </w:rPr>
  </w:style>
  <w:style w:type="paragraph" w:styleId="23">
    <w:name w:val="footer"/>
    <w:basedOn w:val="1"/>
    <w:link w:val="50"/>
    <w:qFormat/>
    <w:uiPriority w:val="99"/>
    <w:pPr>
      <w:tabs>
        <w:tab w:val="center" w:pos="4153"/>
        <w:tab w:val="right" w:pos="8306"/>
      </w:tabs>
      <w:snapToGrid w:val="0"/>
      <w:jc w:val="left"/>
    </w:pPr>
    <w:rPr>
      <w:sz w:val="18"/>
      <w:szCs w:val="18"/>
    </w:rPr>
  </w:style>
  <w:style w:type="paragraph" w:styleId="24">
    <w:name w:val="header"/>
    <w:basedOn w:val="1"/>
    <w:link w:val="48"/>
    <w:qFormat/>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autoRedefine/>
    <w:qFormat/>
    <w:uiPriority w:val="39"/>
  </w:style>
  <w:style w:type="paragraph" w:styleId="26">
    <w:name w:val="List"/>
    <w:basedOn w:val="1"/>
    <w:qFormat/>
    <w:uiPriority w:val="0"/>
    <w:pPr>
      <w:adjustRightInd w:val="0"/>
      <w:spacing w:line="312" w:lineRule="atLeast"/>
      <w:ind w:left="420" w:hanging="420"/>
      <w:textAlignment w:val="baseline"/>
    </w:pPr>
    <w:rPr>
      <w:kern w:val="0"/>
      <w:sz w:val="24"/>
      <w:szCs w:val="20"/>
    </w:rPr>
  </w:style>
  <w:style w:type="paragraph" w:styleId="27">
    <w:name w:val="toc 6"/>
    <w:basedOn w:val="1"/>
    <w:next w:val="1"/>
    <w:semiHidden/>
    <w:qFormat/>
    <w:uiPriority w:val="0"/>
    <w:pPr>
      <w:spacing w:line="480" w:lineRule="exact"/>
      <w:ind w:left="2100" w:leftChars="1000" w:firstLine="200" w:firstLineChars="200"/>
    </w:pPr>
    <w:rPr>
      <w:sz w:val="28"/>
    </w:rPr>
  </w:style>
  <w:style w:type="paragraph" w:styleId="28">
    <w:name w:val="Body Text Indent 3"/>
    <w:basedOn w:val="1"/>
    <w:qFormat/>
    <w:uiPriority w:val="0"/>
    <w:pPr>
      <w:tabs>
        <w:tab w:val="left" w:pos="0"/>
      </w:tabs>
      <w:spacing w:line="360" w:lineRule="auto"/>
      <w:ind w:left="14" w:leftChars="14" w:firstLine="480" w:firstLineChars="200"/>
    </w:pPr>
    <w:rPr>
      <w:sz w:val="24"/>
    </w:rPr>
  </w:style>
  <w:style w:type="paragraph" w:styleId="29">
    <w:name w:val="toc 2"/>
    <w:basedOn w:val="1"/>
    <w:next w:val="1"/>
    <w:autoRedefine/>
    <w:qFormat/>
    <w:uiPriority w:val="39"/>
    <w:pPr>
      <w:ind w:left="420" w:leftChars="200"/>
    </w:pPr>
  </w:style>
  <w:style w:type="paragraph" w:styleId="30">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31">
    <w:name w:val="Title"/>
    <w:basedOn w:val="1"/>
    <w:next w:val="1"/>
    <w:link w:val="61"/>
    <w:qFormat/>
    <w:uiPriority w:val="0"/>
    <w:pPr>
      <w:spacing w:before="240" w:after="60"/>
      <w:jc w:val="center"/>
      <w:outlineLvl w:val="0"/>
    </w:pPr>
    <w:rPr>
      <w:rFonts w:ascii="Cambria" w:hAnsi="Cambria"/>
      <w:b/>
      <w:bCs/>
      <w:sz w:val="32"/>
      <w:szCs w:val="32"/>
    </w:rPr>
  </w:style>
  <w:style w:type="table" w:styleId="33">
    <w:name w:val="Table Grid"/>
    <w:basedOn w:val="32"/>
    <w:qFormat/>
    <w:uiPriority w:val="0"/>
    <w:pPr>
      <w:spacing w:before="60" w:after="60" w:line="360" w:lineRule="auto"/>
      <w:ind w:left="284" w:firstLine="482"/>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22"/>
    <w:rPr>
      <w:b/>
      <w:bCs/>
    </w:rPr>
  </w:style>
  <w:style w:type="character" w:styleId="36">
    <w:name w:val="page number"/>
    <w:basedOn w:val="34"/>
    <w:qFormat/>
    <w:uiPriority w:val="0"/>
  </w:style>
  <w:style w:type="character" w:styleId="37">
    <w:name w:val="Hyperlink"/>
    <w:basedOn w:val="34"/>
    <w:qFormat/>
    <w:uiPriority w:val="99"/>
    <w:rPr>
      <w:color w:val="0000FF"/>
      <w:u w:val="single"/>
    </w:rPr>
  </w:style>
  <w:style w:type="character" w:styleId="38">
    <w:name w:val="HTML Sample"/>
    <w:qFormat/>
    <w:uiPriority w:val="0"/>
    <w:rPr>
      <w:rFonts w:hint="default" w:ascii="monospace" w:hAnsi="monospace" w:eastAsia="monospace" w:cs="monospace"/>
      <w:sz w:val="21"/>
      <w:szCs w:val="21"/>
    </w:rPr>
  </w:style>
  <w:style w:type="character" w:customStyle="1" w:styleId="39">
    <w:name w:val="正文文本 字符"/>
    <w:basedOn w:val="34"/>
    <w:link w:val="4"/>
    <w:qFormat/>
    <w:uiPriority w:val="0"/>
    <w:rPr>
      <w:rFonts w:ascii="宋体" w:hAnsi="宋体"/>
      <w:kern w:val="2"/>
      <w:sz w:val="30"/>
      <w:szCs w:val="24"/>
    </w:rPr>
  </w:style>
  <w:style w:type="character" w:customStyle="1" w:styleId="40">
    <w:name w:val="标题 3 字符"/>
    <w:basedOn w:val="34"/>
    <w:link w:val="5"/>
    <w:semiHidden/>
    <w:qFormat/>
    <w:uiPriority w:val="0"/>
    <w:rPr>
      <w:b/>
      <w:bCs/>
      <w:kern w:val="2"/>
      <w:sz w:val="32"/>
      <w:szCs w:val="32"/>
    </w:rPr>
  </w:style>
  <w:style w:type="character" w:customStyle="1" w:styleId="41">
    <w:name w:val="标题 4 字符"/>
    <w:basedOn w:val="34"/>
    <w:link w:val="6"/>
    <w:semiHidden/>
    <w:qFormat/>
    <w:uiPriority w:val="0"/>
    <w:rPr>
      <w:rFonts w:ascii="Cambria" w:hAnsi="Cambria" w:eastAsia="宋体" w:cs="Times New Roman"/>
      <w:b/>
      <w:bCs/>
      <w:kern w:val="2"/>
      <w:sz w:val="28"/>
      <w:szCs w:val="28"/>
    </w:rPr>
  </w:style>
  <w:style w:type="character" w:customStyle="1" w:styleId="42">
    <w:name w:val="标题 5 字符"/>
    <w:basedOn w:val="34"/>
    <w:link w:val="7"/>
    <w:qFormat/>
    <w:uiPriority w:val="0"/>
    <w:rPr>
      <w:b/>
      <w:kern w:val="2"/>
      <w:sz w:val="28"/>
    </w:rPr>
  </w:style>
  <w:style w:type="character" w:customStyle="1" w:styleId="43">
    <w:name w:val="标题 6 字符"/>
    <w:basedOn w:val="34"/>
    <w:link w:val="8"/>
    <w:qFormat/>
    <w:uiPriority w:val="0"/>
    <w:rPr>
      <w:rFonts w:ascii="Arial" w:hAnsi="Arial" w:eastAsia="黑体"/>
      <w:b/>
      <w:kern w:val="2"/>
      <w:sz w:val="24"/>
    </w:rPr>
  </w:style>
  <w:style w:type="character" w:customStyle="1" w:styleId="44">
    <w:name w:val="标题 7 字符"/>
    <w:basedOn w:val="34"/>
    <w:link w:val="9"/>
    <w:qFormat/>
    <w:uiPriority w:val="0"/>
    <w:rPr>
      <w:b/>
      <w:kern w:val="2"/>
      <w:sz w:val="24"/>
    </w:rPr>
  </w:style>
  <w:style w:type="character" w:customStyle="1" w:styleId="45">
    <w:name w:val="标题 8 字符"/>
    <w:basedOn w:val="34"/>
    <w:link w:val="10"/>
    <w:qFormat/>
    <w:uiPriority w:val="0"/>
    <w:rPr>
      <w:rFonts w:ascii="Arial" w:hAnsi="Arial" w:eastAsia="黑体"/>
      <w:kern w:val="2"/>
      <w:sz w:val="24"/>
    </w:rPr>
  </w:style>
  <w:style w:type="character" w:customStyle="1" w:styleId="46">
    <w:name w:val="标题 9 字符"/>
    <w:basedOn w:val="34"/>
    <w:link w:val="11"/>
    <w:qFormat/>
    <w:uiPriority w:val="0"/>
    <w:rPr>
      <w:rFonts w:ascii="Arial" w:hAnsi="Arial" w:eastAsia="黑体"/>
      <w:kern w:val="2"/>
      <w:sz w:val="24"/>
    </w:rPr>
  </w:style>
  <w:style w:type="paragraph" w:customStyle="1" w:styleId="47">
    <w:name w:val="xl4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character" w:customStyle="1" w:styleId="48">
    <w:name w:val="页眉 字符"/>
    <w:basedOn w:val="34"/>
    <w:link w:val="24"/>
    <w:qFormat/>
    <w:uiPriority w:val="99"/>
    <w:rPr>
      <w:kern w:val="2"/>
      <w:sz w:val="18"/>
      <w:szCs w:val="18"/>
    </w:rPr>
  </w:style>
  <w:style w:type="character" w:customStyle="1" w:styleId="49">
    <w:name w:val="正文文本缩进 2 字符"/>
    <w:basedOn w:val="34"/>
    <w:link w:val="21"/>
    <w:qFormat/>
    <w:uiPriority w:val="0"/>
    <w:rPr>
      <w:rFonts w:ascii="宋体" w:hAnsi="宋体"/>
      <w:kern w:val="2"/>
      <w:sz w:val="30"/>
      <w:szCs w:val="24"/>
    </w:rPr>
  </w:style>
  <w:style w:type="character" w:customStyle="1" w:styleId="50">
    <w:name w:val="页脚 字符"/>
    <w:basedOn w:val="34"/>
    <w:link w:val="23"/>
    <w:qFormat/>
    <w:uiPriority w:val="99"/>
    <w:rPr>
      <w:kern w:val="2"/>
      <w:sz w:val="18"/>
      <w:szCs w:val="18"/>
    </w:rPr>
  </w:style>
  <w:style w:type="paragraph" w:customStyle="1" w:styleId="51">
    <w:name w:val="Char Char Char Char"/>
    <w:basedOn w:val="1"/>
    <w:semiHidden/>
    <w:qFormat/>
    <w:uiPriority w:val="0"/>
    <w:pPr>
      <w:spacing w:afterLines="50" w:line="520" w:lineRule="exact"/>
      <w:jc w:val="center"/>
    </w:pPr>
    <w:rPr>
      <w:rFonts w:ascii="Arial" w:hAnsi="Arial" w:eastAsia="仿宋_GB2312"/>
      <w:sz w:val="28"/>
      <w:szCs w:val="28"/>
    </w:rPr>
  </w:style>
  <w:style w:type="paragraph" w:customStyle="1" w:styleId="52">
    <w:name w:val="Char"/>
    <w:basedOn w:val="1"/>
    <w:qFormat/>
    <w:uiPriority w:val="0"/>
    <w:pPr>
      <w:snapToGrid w:val="0"/>
    </w:pPr>
    <w:rPr>
      <w:rFonts w:ascii="Tahoma" w:hAnsi="Tahoma"/>
      <w:sz w:val="24"/>
      <w:szCs w:val="20"/>
    </w:rPr>
  </w:style>
  <w:style w:type="character" w:customStyle="1" w:styleId="53">
    <w:name w:val="批注框文本 字符"/>
    <w:basedOn w:val="34"/>
    <w:link w:val="22"/>
    <w:qFormat/>
    <w:uiPriority w:val="0"/>
    <w:rPr>
      <w:kern w:val="2"/>
      <w:sz w:val="18"/>
      <w:szCs w:val="18"/>
    </w:rPr>
  </w:style>
  <w:style w:type="paragraph" w:customStyle="1" w:styleId="54">
    <w:name w:val="列出段落1"/>
    <w:basedOn w:val="1"/>
    <w:qFormat/>
    <w:uiPriority w:val="34"/>
    <w:pPr>
      <w:ind w:firstLine="420" w:firstLineChars="200"/>
    </w:pPr>
  </w:style>
  <w:style w:type="paragraph" w:customStyle="1" w:styleId="55">
    <w:name w:val="Char Char Char Char1"/>
    <w:basedOn w:val="1"/>
    <w:qFormat/>
    <w:uiPriority w:val="0"/>
    <w:pPr>
      <w:spacing w:afterLines="50" w:line="520" w:lineRule="exact"/>
      <w:jc w:val="center"/>
    </w:pPr>
    <w:rPr>
      <w:szCs w:val="20"/>
    </w:rPr>
  </w:style>
  <w:style w:type="paragraph" w:customStyle="1" w:styleId="56">
    <w:name w:val="样式 标题 1 + 宋体 三号 行距: 最小值 12 磅"/>
    <w:basedOn w:val="2"/>
    <w:qFormat/>
    <w:uiPriority w:val="0"/>
    <w:pPr>
      <w:tabs>
        <w:tab w:val="clear" w:pos="6480"/>
      </w:tabs>
      <w:adjustRightInd/>
      <w:spacing w:before="340" w:after="330" w:line="240" w:lineRule="atLeast"/>
      <w:ind w:firstLine="4003" w:firstLineChars="1246"/>
      <w:jc w:val="both"/>
      <w:textAlignment w:val="auto"/>
    </w:pPr>
    <w:rPr>
      <w:rFonts w:ascii="宋体" w:hAnsi="宋体" w:eastAsia="宋体" w:cs="宋体"/>
      <w:bCs/>
      <w:lang w:val="en-US"/>
    </w:rPr>
  </w:style>
  <w:style w:type="paragraph" w:customStyle="1" w:styleId="57">
    <w:name w:val="样式 标题 2 + 宋体 四号 左侧:  0 厘米 行距: 1.5 倍行距"/>
    <w:basedOn w:val="3"/>
    <w:qFormat/>
    <w:uiPriority w:val="0"/>
    <w:pPr>
      <w:numPr>
        <w:ilvl w:val="0"/>
        <w:numId w:val="0"/>
      </w:numPr>
      <w:spacing w:beforeLines="50" w:line="360" w:lineRule="auto"/>
      <w:ind w:right="-274" w:rightChars="-98"/>
      <w:jc w:val="left"/>
    </w:pPr>
    <w:rPr>
      <w:rFonts w:ascii="黑体" w:hAnsi="宋体" w:cs="宋体"/>
      <w:b w:val="0"/>
      <w:bCs/>
      <w:kern w:val="0"/>
      <w:sz w:val="30"/>
      <w:szCs w:val="28"/>
    </w:rPr>
  </w:style>
  <w:style w:type="paragraph" w:customStyle="1" w:styleId="58">
    <w:name w:val="样式1"/>
    <w:basedOn w:val="1"/>
    <w:link w:val="59"/>
    <w:qFormat/>
    <w:uiPriority w:val="0"/>
    <w:pPr>
      <w:tabs>
        <w:tab w:val="left" w:pos="3960"/>
      </w:tabs>
      <w:ind w:firstLine="602" w:firstLineChars="200"/>
      <w:jc w:val="center"/>
      <w:outlineLvl w:val="0"/>
    </w:pPr>
    <w:rPr>
      <w:rFonts w:ascii="仿宋_GB2312" w:hAnsi="宋体" w:eastAsia="仿宋_GB2312"/>
      <w:b/>
      <w:sz w:val="32"/>
    </w:rPr>
  </w:style>
  <w:style w:type="character" w:customStyle="1" w:styleId="59">
    <w:name w:val="样式1 Char"/>
    <w:basedOn w:val="34"/>
    <w:link w:val="58"/>
    <w:qFormat/>
    <w:uiPriority w:val="0"/>
    <w:rPr>
      <w:rFonts w:ascii="仿宋_GB2312" w:hAnsi="宋体" w:eastAsia="仿宋_GB2312"/>
      <w:b/>
      <w:kern w:val="2"/>
      <w:sz w:val="32"/>
      <w:szCs w:val="24"/>
    </w:rPr>
  </w:style>
  <w:style w:type="paragraph" w:customStyle="1" w:styleId="60">
    <w:name w:val="Char Char Char Char2"/>
    <w:basedOn w:val="1"/>
    <w:qFormat/>
    <w:uiPriority w:val="0"/>
    <w:pPr>
      <w:spacing w:afterLines="50" w:line="520" w:lineRule="exact"/>
      <w:jc w:val="center"/>
    </w:pPr>
    <w:rPr>
      <w:szCs w:val="20"/>
    </w:rPr>
  </w:style>
  <w:style w:type="character" w:customStyle="1" w:styleId="61">
    <w:name w:val="标题 字符"/>
    <w:basedOn w:val="34"/>
    <w:link w:val="31"/>
    <w:qFormat/>
    <w:uiPriority w:val="0"/>
    <w:rPr>
      <w:rFonts w:ascii="Cambria" w:hAnsi="Cambria"/>
      <w:b/>
      <w:bCs/>
      <w:kern w:val="2"/>
      <w:sz w:val="32"/>
      <w:szCs w:val="32"/>
    </w:rPr>
  </w:style>
  <w:style w:type="paragraph" w:customStyle="1" w:styleId="62">
    <w:name w:val="表头文字"/>
    <w:basedOn w:val="1"/>
    <w:qFormat/>
    <w:uiPriority w:val="0"/>
    <w:pPr>
      <w:adjustRightInd w:val="0"/>
      <w:snapToGrid w:val="0"/>
      <w:spacing w:line="312" w:lineRule="auto"/>
      <w:jc w:val="center"/>
    </w:pPr>
    <w:rPr>
      <w:sz w:val="24"/>
      <w:szCs w:val="20"/>
    </w:rPr>
  </w:style>
  <w:style w:type="paragraph" w:styleId="63">
    <w:name w:val="No Spacing"/>
    <w:link w:val="64"/>
    <w:qFormat/>
    <w:uiPriority w:val="1"/>
    <w:rPr>
      <w:rFonts w:ascii="Calibri" w:hAnsi="Calibri" w:eastAsia="宋体" w:cs="Times New Roman"/>
      <w:sz w:val="22"/>
      <w:szCs w:val="22"/>
      <w:lang w:val="en-US" w:eastAsia="zh-CN" w:bidi="ar-SA"/>
    </w:rPr>
  </w:style>
  <w:style w:type="character" w:customStyle="1" w:styleId="64">
    <w:name w:val="无间隔 字符"/>
    <w:basedOn w:val="34"/>
    <w:link w:val="63"/>
    <w:qFormat/>
    <w:uiPriority w:val="1"/>
    <w:rPr>
      <w:rFonts w:ascii="Calibri" w:hAnsi="Calibri"/>
      <w:sz w:val="22"/>
      <w:szCs w:val="22"/>
      <w:lang w:val="en-US" w:eastAsia="zh-CN" w:bidi="ar-SA"/>
    </w:rPr>
  </w:style>
  <w:style w:type="paragraph" w:customStyle="1" w:styleId="65">
    <w:name w:val="段落 Char"/>
    <w:basedOn w:val="1"/>
    <w:qFormat/>
    <w:uiPriority w:val="0"/>
    <w:pPr>
      <w:topLinePunct/>
      <w:snapToGrid w:val="0"/>
      <w:spacing w:line="360" w:lineRule="auto"/>
      <w:ind w:firstLine="200" w:firstLineChars="200"/>
    </w:pPr>
    <w:rPr>
      <w:sz w:val="24"/>
    </w:rPr>
  </w:style>
  <w:style w:type="paragraph" w:customStyle="1" w:styleId="66">
    <w:name w:val="333"/>
    <w:basedOn w:val="1"/>
    <w:qFormat/>
    <w:uiPriority w:val="0"/>
    <w:pPr>
      <w:spacing w:line="420" w:lineRule="exact"/>
      <w:ind w:firstLine="613" w:firstLineChars="219"/>
    </w:pPr>
    <w:rPr>
      <w:rFonts w:ascii="仿宋_GB2312" w:eastAsia="仿宋_GB2312"/>
      <w:sz w:val="28"/>
      <w:szCs w:val="21"/>
    </w:rPr>
  </w:style>
  <w:style w:type="paragraph" w:customStyle="1" w:styleId="67">
    <w:name w:val="222"/>
    <w:basedOn w:val="1"/>
    <w:qFormat/>
    <w:uiPriority w:val="0"/>
    <w:pPr>
      <w:spacing w:line="420" w:lineRule="exact"/>
      <w:ind w:firstLine="560" w:firstLineChars="200"/>
    </w:pPr>
    <w:rPr>
      <w:rFonts w:ascii="仿宋_GB2312" w:eastAsia="仿宋_GB2312"/>
      <w:sz w:val="28"/>
      <w:szCs w:val="21"/>
    </w:rPr>
  </w:style>
  <w:style w:type="character" w:customStyle="1" w:styleId="68">
    <w:name w:val="标题 7 Char Char Char Char Char Char Char Char"/>
    <w:basedOn w:val="34"/>
    <w:qFormat/>
    <w:uiPriority w:val="0"/>
    <w:rPr>
      <w:rFonts w:ascii="华文细黑" w:eastAsia="华文细黑"/>
      <w:i/>
      <w:snapToGrid w:val="0"/>
      <w:spacing w:val="10"/>
      <w:kern w:val="28"/>
      <w:sz w:val="28"/>
      <w:lang w:val="en-US" w:eastAsia="zh-CN" w:bidi="ar-SA"/>
    </w:rPr>
  </w:style>
  <w:style w:type="paragraph" w:customStyle="1" w:styleId="69">
    <w:name w:val="3"/>
    <w:basedOn w:val="1"/>
    <w:next w:val="16"/>
    <w:qFormat/>
    <w:uiPriority w:val="0"/>
    <w:pPr>
      <w:spacing w:line="420" w:lineRule="exact"/>
    </w:pPr>
    <w:rPr>
      <w:color w:val="000000"/>
      <w:sz w:val="24"/>
    </w:rPr>
  </w:style>
  <w:style w:type="character" w:customStyle="1" w:styleId="70">
    <w:name w:val="正文文本 3 字符"/>
    <w:basedOn w:val="34"/>
    <w:link w:val="16"/>
    <w:qFormat/>
    <w:uiPriority w:val="0"/>
    <w:rPr>
      <w:kern w:val="2"/>
      <w:sz w:val="16"/>
      <w:szCs w:val="16"/>
    </w:rPr>
  </w:style>
  <w:style w:type="paragraph" w:customStyle="1" w:styleId="71">
    <w:name w:val="标准"/>
    <w:basedOn w:val="1"/>
    <w:qFormat/>
    <w:uiPriority w:val="0"/>
    <w:pPr>
      <w:adjustRightInd w:val="0"/>
      <w:spacing w:line="360" w:lineRule="auto"/>
      <w:jc w:val="center"/>
      <w:textAlignment w:val="baseline"/>
    </w:pPr>
    <w:rPr>
      <w:kern w:val="0"/>
      <w:sz w:val="24"/>
      <w:szCs w:val="20"/>
    </w:rPr>
  </w:style>
  <w:style w:type="paragraph" w:customStyle="1" w:styleId="72">
    <w:name w:val="数字表格"/>
    <w:basedOn w:val="1"/>
    <w:qFormat/>
    <w:uiPriority w:val="0"/>
    <w:pPr>
      <w:jc w:val="center"/>
    </w:pPr>
    <w:rPr>
      <w:rFonts w:ascii="宋体" w:hAnsi="宋体"/>
      <w:sz w:val="24"/>
      <w:szCs w:val="20"/>
    </w:rPr>
  </w:style>
  <w:style w:type="paragraph" w:customStyle="1" w:styleId="73">
    <w:name w:val="mqh"/>
    <w:basedOn w:val="1"/>
    <w:qFormat/>
    <w:uiPriority w:val="0"/>
    <w:rPr>
      <w:snapToGrid w:val="0"/>
      <w:kern w:val="0"/>
      <w:szCs w:val="20"/>
      <w:lang w:val="en-GB"/>
    </w:rPr>
  </w:style>
  <w:style w:type="paragraph" w:customStyle="1" w:styleId="74">
    <w:name w:val="排列部分"/>
    <w:basedOn w:val="1"/>
    <w:qFormat/>
    <w:uiPriority w:val="0"/>
    <w:pPr>
      <w:autoSpaceDE w:val="0"/>
      <w:autoSpaceDN w:val="0"/>
      <w:adjustRightInd w:val="0"/>
      <w:spacing w:after="36" w:line="400" w:lineRule="exact"/>
      <w:jc w:val="center"/>
    </w:pPr>
    <w:rPr>
      <w:rFonts w:ascii="宋体" w:hAnsi="宋体"/>
      <w:sz w:val="24"/>
      <w:szCs w:val="20"/>
    </w:rPr>
  </w:style>
  <w:style w:type="paragraph" w:customStyle="1" w:styleId="75">
    <w:name w:val="TU"/>
    <w:basedOn w:val="1"/>
    <w:qFormat/>
    <w:uiPriority w:val="0"/>
    <w:pPr>
      <w:jc w:val="center"/>
    </w:pPr>
    <w:rPr>
      <w:rFonts w:eastAsia="幼圆"/>
      <w:sz w:val="24"/>
    </w:rPr>
  </w:style>
  <w:style w:type="paragraph" w:customStyle="1" w:styleId="76">
    <w:name w:val="表格"/>
    <w:basedOn w:val="1"/>
    <w:qFormat/>
    <w:uiPriority w:val="0"/>
    <w:pPr>
      <w:adjustRightInd w:val="0"/>
      <w:snapToGrid w:val="0"/>
      <w:jc w:val="center"/>
      <w:outlineLvl w:val="4"/>
    </w:pPr>
    <w:rPr>
      <w:bCs/>
      <w:snapToGrid w:val="0"/>
      <w:color w:val="000000"/>
    </w:rPr>
  </w:style>
  <w:style w:type="paragraph" w:customStyle="1" w:styleId="77">
    <w:name w:val="l_text"/>
    <w:basedOn w:val="1"/>
    <w:qFormat/>
    <w:uiPriority w:val="0"/>
    <w:pPr>
      <w:widowControl/>
      <w:overflowPunct w:val="0"/>
      <w:autoSpaceDE w:val="0"/>
      <w:autoSpaceDN w:val="0"/>
      <w:adjustRightInd w:val="0"/>
      <w:spacing w:line="360" w:lineRule="auto"/>
      <w:ind w:firstLine="601"/>
      <w:textAlignment w:val="baseline"/>
    </w:pPr>
    <w:rPr>
      <w:rFonts w:ascii="楷体" w:eastAsia="楷体"/>
      <w:kern w:val="0"/>
      <w:sz w:val="28"/>
      <w:szCs w:val="20"/>
    </w:rPr>
  </w:style>
  <w:style w:type="paragraph" w:customStyle="1" w:styleId="78">
    <w:name w:val="xl29"/>
    <w:basedOn w:val="1"/>
    <w:qFormat/>
    <w:uiPriority w:val="0"/>
    <w:pPr>
      <w:widowControl/>
      <w:pBdr>
        <w:left w:val="single" w:color="auto" w:sz="4" w:space="0"/>
      </w:pBdr>
      <w:spacing w:before="100" w:after="100" w:line="360" w:lineRule="auto"/>
      <w:jc w:val="center"/>
    </w:pPr>
    <w:rPr>
      <w:rFonts w:hint="eastAsia" w:ascii="楷体_GB2312" w:hAnsi="宋体" w:eastAsia="楷体_GB2312"/>
      <w:kern w:val="0"/>
      <w:sz w:val="24"/>
      <w:szCs w:val="20"/>
    </w:rPr>
  </w:style>
  <w:style w:type="paragraph" w:customStyle="1" w:styleId="79">
    <w:name w:val="样式4"/>
    <w:basedOn w:val="1"/>
    <w:qFormat/>
    <w:uiPriority w:val="0"/>
    <w:pPr>
      <w:spacing w:line="360" w:lineRule="auto"/>
    </w:pPr>
    <w:rPr>
      <w:sz w:val="28"/>
      <w:szCs w:val="20"/>
    </w:rPr>
  </w:style>
  <w:style w:type="paragraph" w:customStyle="1" w:styleId="80">
    <w:name w:val="图表1"/>
    <w:next w:val="1"/>
    <w:qFormat/>
    <w:uiPriority w:val="0"/>
    <w:pPr>
      <w:spacing w:line="240" w:lineRule="atLeast"/>
      <w:jc w:val="center"/>
    </w:pPr>
    <w:rPr>
      <w:rFonts w:ascii="楷体_GB2312" w:hAnsi="Times New Roman" w:eastAsia="楷体_GB2312" w:cs="Times New Roman"/>
      <w:sz w:val="24"/>
      <w:lang w:val="en-US" w:eastAsia="zh-CN" w:bidi="ar-SA"/>
    </w:rPr>
  </w:style>
  <w:style w:type="paragraph" w:customStyle="1" w:styleId="81">
    <w:name w:val="样式5"/>
    <w:basedOn w:val="1"/>
    <w:qFormat/>
    <w:uiPriority w:val="0"/>
    <w:pPr>
      <w:spacing w:line="360" w:lineRule="auto"/>
      <w:outlineLvl w:val="0"/>
    </w:pPr>
    <w:rPr>
      <w:rFonts w:hAnsi="宋体"/>
      <w:color w:val="008000"/>
      <w:sz w:val="28"/>
      <w:szCs w:val="20"/>
    </w:rPr>
  </w:style>
  <w:style w:type="paragraph" w:customStyle="1" w:styleId="82">
    <w:name w:val="font0"/>
    <w:basedOn w:val="1"/>
    <w:qFormat/>
    <w:uiPriority w:val="0"/>
    <w:pPr>
      <w:widowControl/>
      <w:spacing w:before="100" w:beforeAutospacing="1" w:after="100" w:afterAutospacing="1" w:line="360" w:lineRule="auto"/>
      <w:jc w:val="left"/>
    </w:pPr>
    <w:rPr>
      <w:rFonts w:hint="eastAsia" w:ascii="宋体" w:hAnsi="宋体"/>
      <w:kern w:val="0"/>
      <w:sz w:val="24"/>
    </w:rPr>
  </w:style>
  <w:style w:type="paragraph" w:customStyle="1" w:styleId="83">
    <w:name w:val="font5"/>
    <w:basedOn w:val="1"/>
    <w:qFormat/>
    <w:uiPriority w:val="0"/>
    <w:pPr>
      <w:widowControl/>
      <w:spacing w:before="100" w:beforeAutospacing="1" w:after="100" w:afterAutospacing="1" w:line="360" w:lineRule="auto"/>
      <w:jc w:val="left"/>
    </w:pPr>
    <w:rPr>
      <w:rFonts w:hint="eastAsia" w:ascii="宋体" w:hAnsi="宋体"/>
      <w:kern w:val="0"/>
      <w:sz w:val="24"/>
    </w:rPr>
  </w:style>
  <w:style w:type="paragraph" w:customStyle="1" w:styleId="84">
    <w:name w:val="font6"/>
    <w:basedOn w:val="1"/>
    <w:qFormat/>
    <w:uiPriority w:val="0"/>
    <w:pPr>
      <w:widowControl/>
      <w:spacing w:before="100" w:beforeAutospacing="1" w:after="100" w:afterAutospacing="1" w:line="360" w:lineRule="auto"/>
      <w:jc w:val="left"/>
    </w:pPr>
    <w:rPr>
      <w:rFonts w:hint="eastAsia" w:ascii="宋体" w:hAnsi="宋体"/>
      <w:kern w:val="0"/>
      <w:sz w:val="18"/>
      <w:szCs w:val="18"/>
    </w:rPr>
  </w:style>
  <w:style w:type="paragraph" w:customStyle="1" w:styleId="85">
    <w:name w:val="font7"/>
    <w:basedOn w:val="1"/>
    <w:qFormat/>
    <w:uiPriority w:val="0"/>
    <w:pPr>
      <w:widowControl/>
      <w:spacing w:before="100" w:beforeAutospacing="1" w:after="100" w:afterAutospacing="1" w:line="360" w:lineRule="auto"/>
      <w:jc w:val="left"/>
    </w:pPr>
    <w:rPr>
      <w:rFonts w:hint="eastAsia" w:ascii="宋体" w:hAnsi="宋体"/>
      <w:kern w:val="0"/>
      <w:sz w:val="24"/>
    </w:rPr>
  </w:style>
  <w:style w:type="paragraph" w:customStyle="1" w:styleId="86">
    <w:name w:val="font8"/>
    <w:basedOn w:val="1"/>
    <w:qFormat/>
    <w:uiPriority w:val="0"/>
    <w:pPr>
      <w:widowControl/>
      <w:spacing w:before="100" w:beforeAutospacing="1" w:after="100" w:afterAutospacing="1" w:line="360" w:lineRule="auto"/>
      <w:jc w:val="left"/>
    </w:pPr>
    <w:rPr>
      <w:kern w:val="0"/>
      <w:sz w:val="24"/>
    </w:rPr>
  </w:style>
  <w:style w:type="paragraph" w:customStyle="1" w:styleId="87">
    <w:name w:val="font9"/>
    <w:basedOn w:val="1"/>
    <w:qFormat/>
    <w:uiPriority w:val="0"/>
    <w:pPr>
      <w:widowControl/>
      <w:spacing w:before="100" w:beforeAutospacing="1" w:after="100" w:afterAutospacing="1" w:line="360" w:lineRule="auto"/>
      <w:jc w:val="left"/>
    </w:pPr>
    <w:rPr>
      <w:rFonts w:hint="eastAsia" w:ascii="宋体" w:hAnsi="宋体"/>
      <w:color w:val="FF0000"/>
      <w:kern w:val="0"/>
      <w:sz w:val="24"/>
    </w:rPr>
  </w:style>
  <w:style w:type="paragraph" w:customStyle="1" w:styleId="88">
    <w:name w:val="font10"/>
    <w:basedOn w:val="1"/>
    <w:qFormat/>
    <w:uiPriority w:val="0"/>
    <w:pPr>
      <w:widowControl/>
      <w:spacing w:before="100" w:beforeAutospacing="1" w:after="100" w:afterAutospacing="1" w:line="360" w:lineRule="auto"/>
      <w:jc w:val="left"/>
    </w:pPr>
    <w:rPr>
      <w:color w:val="FF0000"/>
      <w:kern w:val="0"/>
      <w:sz w:val="24"/>
    </w:rPr>
  </w:style>
  <w:style w:type="paragraph" w:customStyle="1" w:styleId="89">
    <w:name w:val="font11"/>
    <w:basedOn w:val="1"/>
    <w:qFormat/>
    <w:uiPriority w:val="0"/>
    <w:pPr>
      <w:widowControl/>
      <w:spacing w:before="100" w:beforeAutospacing="1" w:after="100" w:afterAutospacing="1" w:line="360" w:lineRule="auto"/>
      <w:jc w:val="left"/>
    </w:pPr>
    <w:rPr>
      <w:rFonts w:hint="eastAsia" w:ascii="宋体" w:hAnsi="宋体"/>
      <w:color w:val="0000FF"/>
      <w:kern w:val="0"/>
      <w:sz w:val="24"/>
    </w:rPr>
  </w:style>
  <w:style w:type="paragraph" w:customStyle="1" w:styleId="90">
    <w:name w:val="font12"/>
    <w:basedOn w:val="1"/>
    <w:qFormat/>
    <w:uiPriority w:val="0"/>
    <w:pPr>
      <w:widowControl/>
      <w:spacing w:before="100" w:beforeAutospacing="1" w:after="100" w:afterAutospacing="1" w:line="360" w:lineRule="auto"/>
      <w:jc w:val="left"/>
    </w:pPr>
    <w:rPr>
      <w:color w:val="0000FF"/>
      <w:kern w:val="0"/>
      <w:sz w:val="24"/>
    </w:rPr>
  </w:style>
  <w:style w:type="paragraph" w:customStyle="1" w:styleId="91">
    <w:name w:val="font13"/>
    <w:basedOn w:val="1"/>
    <w:qFormat/>
    <w:uiPriority w:val="0"/>
    <w:pPr>
      <w:widowControl/>
      <w:spacing w:before="100" w:beforeAutospacing="1" w:after="100" w:afterAutospacing="1" w:line="360" w:lineRule="auto"/>
      <w:jc w:val="left"/>
    </w:pPr>
    <w:rPr>
      <w:rFonts w:hint="eastAsia" w:ascii="宋体" w:hAnsi="宋体"/>
      <w:color w:val="008000"/>
      <w:kern w:val="0"/>
      <w:sz w:val="24"/>
    </w:rPr>
  </w:style>
  <w:style w:type="paragraph" w:customStyle="1" w:styleId="92">
    <w:name w:val="font14"/>
    <w:basedOn w:val="1"/>
    <w:qFormat/>
    <w:uiPriority w:val="0"/>
    <w:pPr>
      <w:widowControl/>
      <w:spacing w:before="100" w:beforeAutospacing="1" w:after="100" w:afterAutospacing="1" w:line="360" w:lineRule="auto"/>
      <w:jc w:val="left"/>
    </w:pPr>
    <w:rPr>
      <w:color w:val="008000"/>
      <w:kern w:val="0"/>
      <w:sz w:val="24"/>
    </w:rPr>
  </w:style>
  <w:style w:type="paragraph" w:customStyle="1" w:styleId="93">
    <w:name w:val="font15"/>
    <w:basedOn w:val="1"/>
    <w:qFormat/>
    <w:uiPriority w:val="0"/>
    <w:pPr>
      <w:widowControl/>
      <w:spacing w:before="100" w:beforeAutospacing="1" w:after="100" w:afterAutospacing="1" w:line="360" w:lineRule="auto"/>
      <w:jc w:val="left"/>
    </w:pPr>
    <w:rPr>
      <w:rFonts w:hint="eastAsia" w:ascii="宋体" w:hAnsi="宋体"/>
      <w:color w:val="333399"/>
      <w:kern w:val="0"/>
      <w:sz w:val="24"/>
    </w:rPr>
  </w:style>
  <w:style w:type="paragraph" w:customStyle="1" w:styleId="94">
    <w:name w:val="font16"/>
    <w:basedOn w:val="1"/>
    <w:qFormat/>
    <w:uiPriority w:val="0"/>
    <w:pPr>
      <w:widowControl/>
      <w:spacing w:before="100" w:beforeAutospacing="1" w:after="100" w:afterAutospacing="1" w:line="360" w:lineRule="auto"/>
      <w:jc w:val="left"/>
    </w:pPr>
    <w:rPr>
      <w:color w:val="333399"/>
      <w:kern w:val="0"/>
      <w:sz w:val="24"/>
    </w:rPr>
  </w:style>
  <w:style w:type="paragraph" w:customStyle="1" w:styleId="95">
    <w:name w:val="font17"/>
    <w:basedOn w:val="1"/>
    <w:qFormat/>
    <w:uiPriority w:val="0"/>
    <w:pPr>
      <w:widowControl/>
      <w:spacing w:before="100" w:beforeAutospacing="1" w:after="100" w:afterAutospacing="1" w:line="360" w:lineRule="auto"/>
      <w:jc w:val="left"/>
    </w:pPr>
    <w:rPr>
      <w:rFonts w:hint="eastAsia" w:ascii="宋体" w:hAnsi="宋体"/>
      <w:color w:val="FF00FF"/>
      <w:kern w:val="0"/>
      <w:sz w:val="24"/>
    </w:rPr>
  </w:style>
  <w:style w:type="paragraph" w:customStyle="1" w:styleId="96">
    <w:name w:val="font18"/>
    <w:basedOn w:val="1"/>
    <w:qFormat/>
    <w:uiPriority w:val="0"/>
    <w:pPr>
      <w:widowControl/>
      <w:spacing w:before="100" w:beforeAutospacing="1" w:after="100" w:afterAutospacing="1" w:line="360" w:lineRule="auto"/>
      <w:jc w:val="left"/>
    </w:pPr>
    <w:rPr>
      <w:color w:val="FF00FF"/>
      <w:kern w:val="0"/>
      <w:sz w:val="24"/>
    </w:rPr>
  </w:style>
  <w:style w:type="paragraph" w:customStyle="1" w:styleId="97">
    <w:name w:val="xl24"/>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8000"/>
      <w:kern w:val="0"/>
      <w:sz w:val="24"/>
    </w:rPr>
  </w:style>
  <w:style w:type="paragraph" w:customStyle="1" w:styleId="98">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8000"/>
      <w:kern w:val="0"/>
      <w:sz w:val="24"/>
    </w:rPr>
  </w:style>
  <w:style w:type="paragraph" w:customStyle="1" w:styleId="99">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8000"/>
      <w:kern w:val="0"/>
      <w:sz w:val="24"/>
    </w:rPr>
  </w:style>
  <w:style w:type="paragraph" w:customStyle="1" w:styleId="100">
    <w:name w:val="xl27"/>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color w:val="008000"/>
      <w:kern w:val="0"/>
      <w:sz w:val="24"/>
    </w:rPr>
  </w:style>
  <w:style w:type="paragraph" w:customStyle="1" w:styleId="101">
    <w:name w:val="xl28"/>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99"/>
      <w:kern w:val="0"/>
      <w:sz w:val="24"/>
    </w:rPr>
  </w:style>
  <w:style w:type="paragraph" w:customStyle="1" w:styleId="102">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99"/>
      <w:kern w:val="0"/>
      <w:sz w:val="24"/>
    </w:rPr>
  </w:style>
  <w:style w:type="paragraph" w:customStyle="1" w:styleId="103">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99"/>
      <w:kern w:val="0"/>
      <w:sz w:val="24"/>
    </w:rPr>
  </w:style>
  <w:style w:type="paragraph" w:customStyle="1" w:styleId="104">
    <w:name w:val="xl32"/>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color w:val="333399"/>
      <w:kern w:val="0"/>
      <w:sz w:val="24"/>
    </w:rPr>
  </w:style>
  <w:style w:type="paragraph" w:customStyle="1" w:styleId="105">
    <w:name w:val="xl33"/>
    <w:basedOn w:val="1"/>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06">
    <w:name w:val="xl34"/>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07">
    <w:name w:val="xl35"/>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08">
    <w:name w:val="xl36"/>
    <w:basedOn w:val="1"/>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kern w:val="0"/>
      <w:sz w:val="24"/>
    </w:rPr>
  </w:style>
  <w:style w:type="paragraph" w:customStyle="1" w:styleId="109">
    <w:name w:val="xl3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10">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11">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12">
    <w:name w:val="xl40"/>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kern w:val="0"/>
      <w:sz w:val="24"/>
    </w:rPr>
  </w:style>
  <w:style w:type="paragraph" w:customStyle="1" w:styleId="113">
    <w:name w:val="xl41"/>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14">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15">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16">
    <w:name w:val="xl44"/>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kern w:val="0"/>
      <w:sz w:val="24"/>
    </w:rPr>
  </w:style>
  <w:style w:type="paragraph" w:customStyle="1" w:styleId="117">
    <w:name w:val="xl45"/>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FF0000"/>
      <w:kern w:val="0"/>
      <w:sz w:val="24"/>
    </w:rPr>
  </w:style>
  <w:style w:type="paragraph" w:customStyle="1" w:styleId="118">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FF0000"/>
      <w:kern w:val="0"/>
      <w:sz w:val="24"/>
    </w:rPr>
  </w:style>
  <w:style w:type="paragraph" w:customStyle="1" w:styleId="119">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FF0000"/>
      <w:kern w:val="0"/>
      <w:sz w:val="24"/>
    </w:rPr>
  </w:style>
  <w:style w:type="paragraph" w:customStyle="1" w:styleId="120">
    <w:name w:val="xl49"/>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color w:val="FF0000"/>
      <w:kern w:val="0"/>
      <w:sz w:val="24"/>
    </w:rPr>
  </w:style>
  <w:style w:type="paragraph" w:customStyle="1" w:styleId="121">
    <w:name w:val="xl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FF0000"/>
      <w:kern w:val="0"/>
      <w:sz w:val="24"/>
    </w:rPr>
  </w:style>
  <w:style w:type="paragraph" w:customStyle="1" w:styleId="122">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FF0000"/>
      <w:kern w:val="0"/>
      <w:sz w:val="24"/>
    </w:rPr>
  </w:style>
  <w:style w:type="paragraph" w:customStyle="1" w:styleId="123">
    <w:name w:val="xl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FF0000"/>
      <w:kern w:val="0"/>
      <w:sz w:val="24"/>
    </w:rPr>
  </w:style>
  <w:style w:type="paragraph" w:customStyle="1" w:styleId="124">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FF0000"/>
      <w:kern w:val="0"/>
      <w:sz w:val="24"/>
    </w:rPr>
  </w:style>
  <w:style w:type="paragraph" w:customStyle="1" w:styleId="125">
    <w:name w:val="xl54"/>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color w:val="FF0000"/>
      <w:kern w:val="0"/>
      <w:sz w:val="24"/>
    </w:rPr>
  </w:style>
  <w:style w:type="paragraph" w:customStyle="1" w:styleId="126">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FF0000"/>
      <w:kern w:val="0"/>
      <w:sz w:val="24"/>
    </w:rPr>
  </w:style>
  <w:style w:type="paragraph" w:customStyle="1" w:styleId="127">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FF0000"/>
      <w:kern w:val="0"/>
      <w:sz w:val="24"/>
    </w:rPr>
  </w:style>
  <w:style w:type="paragraph" w:customStyle="1" w:styleId="128">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33"/>
      <w:kern w:val="0"/>
      <w:sz w:val="24"/>
    </w:rPr>
  </w:style>
  <w:style w:type="paragraph" w:customStyle="1" w:styleId="129">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kern w:val="0"/>
      <w:sz w:val="24"/>
    </w:rPr>
  </w:style>
  <w:style w:type="paragraph" w:customStyle="1" w:styleId="130">
    <w:name w:val="xl59"/>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31">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0000FF"/>
      <w:kern w:val="0"/>
      <w:sz w:val="24"/>
    </w:rPr>
  </w:style>
  <w:style w:type="paragraph" w:customStyle="1" w:styleId="132">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33">
    <w:name w:val="xl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0000FF"/>
      <w:kern w:val="0"/>
      <w:sz w:val="24"/>
    </w:rPr>
  </w:style>
  <w:style w:type="paragraph" w:customStyle="1" w:styleId="134">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35">
    <w:name w:val="xl64"/>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36">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37">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0000FF"/>
      <w:kern w:val="0"/>
      <w:sz w:val="24"/>
    </w:rPr>
  </w:style>
  <w:style w:type="paragraph" w:customStyle="1" w:styleId="138">
    <w:name w:val="xl67"/>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39">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40">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00FF"/>
      <w:kern w:val="0"/>
      <w:sz w:val="24"/>
    </w:rPr>
  </w:style>
  <w:style w:type="paragraph" w:customStyle="1" w:styleId="141">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008000"/>
      <w:kern w:val="0"/>
      <w:sz w:val="24"/>
    </w:rPr>
  </w:style>
  <w:style w:type="paragraph" w:customStyle="1" w:styleId="142">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8000"/>
      <w:kern w:val="0"/>
      <w:sz w:val="24"/>
    </w:rPr>
  </w:style>
  <w:style w:type="paragraph" w:customStyle="1" w:styleId="143">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8000"/>
      <w:kern w:val="0"/>
      <w:sz w:val="24"/>
    </w:rPr>
  </w:style>
  <w:style w:type="paragraph" w:customStyle="1" w:styleId="144">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008000"/>
      <w:kern w:val="0"/>
      <w:sz w:val="24"/>
    </w:rPr>
  </w:style>
  <w:style w:type="paragraph" w:customStyle="1" w:styleId="145">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008000"/>
      <w:kern w:val="0"/>
      <w:sz w:val="24"/>
    </w:rPr>
  </w:style>
  <w:style w:type="paragraph" w:customStyle="1" w:styleId="146">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99"/>
      <w:kern w:val="0"/>
      <w:sz w:val="24"/>
    </w:rPr>
  </w:style>
  <w:style w:type="paragraph" w:customStyle="1" w:styleId="147">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333399"/>
      <w:kern w:val="0"/>
      <w:sz w:val="24"/>
    </w:rPr>
  </w:style>
  <w:style w:type="paragraph" w:customStyle="1" w:styleId="148">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99"/>
      <w:kern w:val="0"/>
      <w:sz w:val="24"/>
    </w:rPr>
  </w:style>
  <w:style w:type="paragraph" w:customStyle="1" w:styleId="149">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33"/>
      <w:kern w:val="0"/>
      <w:sz w:val="24"/>
    </w:rPr>
  </w:style>
  <w:style w:type="paragraph" w:customStyle="1" w:styleId="150">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151">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152">
    <w:name w:val="xl81"/>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FF00FF"/>
      <w:kern w:val="0"/>
      <w:sz w:val="24"/>
    </w:rPr>
  </w:style>
  <w:style w:type="paragraph" w:customStyle="1" w:styleId="153">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color w:val="FF00FF"/>
      <w:kern w:val="0"/>
      <w:sz w:val="24"/>
    </w:rPr>
  </w:style>
  <w:style w:type="paragraph" w:customStyle="1" w:styleId="154">
    <w:name w:val="xl83"/>
    <w:basedOn w:val="1"/>
    <w:qFormat/>
    <w:uiPriority w:val="0"/>
    <w:pPr>
      <w:widowControl/>
      <w:pBdr>
        <w:top w:val="single" w:color="auto" w:sz="4" w:space="0"/>
        <w:left w:val="double" w:color="auto" w:sz="6"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00FF"/>
      <w:kern w:val="0"/>
      <w:sz w:val="18"/>
      <w:szCs w:val="18"/>
    </w:rPr>
  </w:style>
  <w:style w:type="paragraph" w:customStyle="1" w:styleId="155">
    <w:name w:val="xl84"/>
    <w:basedOn w:val="1"/>
    <w:qFormat/>
    <w:uiPriority w:val="0"/>
    <w:pPr>
      <w:widowControl/>
      <w:pBdr>
        <w:top w:val="single" w:color="auto" w:sz="4" w:space="0"/>
        <w:left w:val="single" w:color="auto" w:sz="4" w:space="0"/>
        <w:bottom w:val="single" w:color="auto" w:sz="4" w:space="0"/>
        <w:right w:val="double" w:color="auto" w:sz="6" w:space="0"/>
      </w:pBdr>
      <w:spacing w:before="100" w:beforeAutospacing="1" w:after="100" w:afterAutospacing="1" w:line="360" w:lineRule="auto"/>
      <w:jc w:val="center"/>
      <w:textAlignment w:val="center"/>
    </w:pPr>
    <w:rPr>
      <w:rFonts w:ascii="宋体" w:hAnsi="宋体"/>
      <w:color w:val="0000FF"/>
      <w:kern w:val="0"/>
      <w:sz w:val="18"/>
      <w:szCs w:val="18"/>
    </w:rPr>
  </w:style>
  <w:style w:type="paragraph" w:customStyle="1" w:styleId="156">
    <w:name w:val="xl85"/>
    <w:basedOn w:val="1"/>
    <w:qFormat/>
    <w:uiPriority w:val="0"/>
    <w:pPr>
      <w:widowControl/>
      <w:pBdr>
        <w:top w:val="single" w:color="auto" w:sz="4" w:space="0"/>
        <w:left w:val="double" w:color="auto" w:sz="6"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008000"/>
      <w:kern w:val="0"/>
      <w:sz w:val="18"/>
      <w:szCs w:val="18"/>
    </w:rPr>
  </w:style>
  <w:style w:type="paragraph" w:customStyle="1" w:styleId="157">
    <w:name w:val="xl86"/>
    <w:basedOn w:val="1"/>
    <w:qFormat/>
    <w:uiPriority w:val="0"/>
    <w:pPr>
      <w:widowControl/>
      <w:pBdr>
        <w:top w:val="single" w:color="auto" w:sz="4" w:space="0"/>
        <w:left w:val="single" w:color="auto" w:sz="4" w:space="0"/>
        <w:bottom w:val="single" w:color="auto" w:sz="4" w:space="0"/>
        <w:right w:val="double" w:color="auto" w:sz="6" w:space="0"/>
      </w:pBdr>
      <w:spacing w:before="100" w:beforeAutospacing="1" w:after="100" w:afterAutospacing="1" w:line="360" w:lineRule="auto"/>
      <w:jc w:val="center"/>
      <w:textAlignment w:val="center"/>
    </w:pPr>
    <w:rPr>
      <w:rFonts w:ascii="宋体" w:hAnsi="宋体"/>
      <w:color w:val="008000"/>
      <w:kern w:val="0"/>
      <w:sz w:val="18"/>
      <w:szCs w:val="18"/>
    </w:rPr>
  </w:style>
  <w:style w:type="paragraph" w:customStyle="1" w:styleId="158">
    <w:name w:val="xl87"/>
    <w:basedOn w:val="1"/>
    <w:qFormat/>
    <w:uiPriority w:val="0"/>
    <w:pPr>
      <w:widowControl/>
      <w:pBdr>
        <w:top w:val="single" w:color="auto" w:sz="4" w:space="0"/>
        <w:left w:val="double" w:color="auto" w:sz="6"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333399"/>
      <w:kern w:val="0"/>
      <w:sz w:val="18"/>
      <w:szCs w:val="18"/>
    </w:rPr>
  </w:style>
  <w:style w:type="paragraph" w:customStyle="1" w:styleId="159">
    <w:name w:val="xl88"/>
    <w:basedOn w:val="1"/>
    <w:qFormat/>
    <w:uiPriority w:val="0"/>
    <w:pPr>
      <w:widowControl/>
      <w:pBdr>
        <w:top w:val="single" w:color="auto" w:sz="4" w:space="0"/>
        <w:left w:val="single" w:color="auto" w:sz="4" w:space="0"/>
        <w:bottom w:val="single" w:color="auto" w:sz="4" w:space="0"/>
        <w:right w:val="double" w:color="auto" w:sz="6" w:space="0"/>
      </w:pBdr>
      <w:spacing w:before="100" w:beforeAutospacing="1" w:after="100" w:afterAutospacing="1" w:line="360" w:lineRule="auto"/>
      <w:jc w:val="center"/>
      <w:textAlignment w:val="center"/>
    </w:pPr>
    <w:rPr>
      <w:rFonts w:ascii="宋体" w:hAnsi="宋体"/>
      <w:color w:val="333399"/>
      <w:kern w:val="0"/>
      <w:sz w:val="18"/>
      <w:szCs w:val="18"/>
    </w:rPr>
  </w:style>
  <w:style w:type="paragraph" w:customStyle="1" w:styleId="160">
    <w:name w:val="xl89"/>
    <w:basedOn w:val="1"/>
    <w:qFormat/>
    <w:uiPriority w:val="0"/>
    <w:pPr>
      <w:widowControl/>
      <w:pBdr>
        <w:top w:val="single" w:color="auto" w:sz="4" w:space="0"/>
        <w:left w:val="double" w:color="auto" w:sz="6" w:space="0"/>
        <w:bottom w:val="single" w:color="auto" w:sz="4" w:space="0"/>
        <w:right w:val="single" w:color="auto" w:sz="4" w:space="0"/>
      </w:pBdr>
      <w:spacing w:before="100" w:beforeAutospacing="1" w:after="100" w:afterAutospacing="1" w:line="360" w:lineRule="auto"/>
      <w:jc w:val="center"/>
      <w:textAlignment w:val="center"/>
    </w:pPr>
    <w:rPr>
      <w:rFonts w:ascii="宋体" w:hAnsi="宋体"/>
      <w:color w:val="FF00FF"/>
      <w:kern w:val="0"/>
      <w:sz w:val="18"/>
      <w:szCs w:val="18"/>
    </w:rPr>
  </w:style>
  <w:style w:type="paragraph" w:customStyle="1" w:styleId="161">
    <w:name w:val="xl90"/>
    <w:basedOn w:val="1"/>
    <w:qFormat/>
    <w:uiPriority w:val="0"/>
    <w:pPr>
      <w:widowControl/>
      <w:pBdr>
        <w:top w:val="single" w:color="auto" w:sz="4" w:space="0"/>
        <w:left w:val="single" w:color="auto" w:sz="4" w:space="0"/>
        <w:bottom w:val="single" w:color="auto" w:sz="4" w:space="0"/>
        <w:right w:val="double" w:color="auto" w:sz="6" w:space="0"/>
      </w:pBdr>
      <w:spacing w:before="100" w:beforeAutospacing="1" w:after="100" w:afterAutospacing="1" w:line="360" w:lineRule="auto"/>
      <w:jc w:val="center"/>
      <w:textAlignment w:val="center"/>
    </w:pPr>
    <w:rPr>
      <w:rFonts w:ascii="宋体" w:hAnsi="宋体"/>
      <w:color w:val="FF00FF"/>
      <w:kern w:val="0"/>
      <w:sz w:val="18"/>
      <w:szCs w:val="18"/>
    </w:rPr>
  </w:style>
  <w:style w:type="paragraph" w:customStyle="1" w:styleId="162">
    <w:name w:val="Body Text 21"/>
    <w:basedOn w:val="1"/>
    <w:qFormat/>
    <w:uiPriority w:val="0"/>
    <w:pPr>
      <w:adjustRightInd w:val="0"/>
      <w:textAlignment w:val="baseline"/>
    </w:pPr>
    <w:rPr>
      <w:kern w:val="0"/>
      <w:sz w:val="24"/>
      <w:szCs w:val="20"/>
    </w:rPr>
  </w:style>
  <w:style w:type="paragraph" w:customStyle="1" w:styleId="163">
    <w:name w:val="正文1"/>
    <w:qFormat/>
    <w:uiPriority w:val="0"/>
    <w:pPr>
      <w:widowControl w:val="0"/>
      <w:adjustRightInd w:val="0"/>
      <w:spacing w:line="360" w:lineRule="auto"/>
      <w:jc w:val="both"/>
      <w:textAlignment w:val="baseline"/>
    </w:pPr>
    <w:rPr>
      <w:rFonts w:ascii="宋体" w:hAnsi="Times New Roman" w:eastAsia="宋体" w:cs="Times New Roman"/>
      <w:sz w:val="24"/>
      <w:lang w:val="en-US" w:eastAsia="zh-CN" w:bidi="ar-SA"/>
    </w:rPr>
  </w:style>
  <w:style w:type="paragraph" w:customStyle="1" w:styleId="164">
    <w:name w:val="简单回函地址"/>
    <w:basedOn w:val="1"/>
    <w:qFormat/>
    <w:uiPriority w:val="0"/>
    <w:pPr>
      <w:adjustRightInd w:val="0"/>
      <w:spacing w:line="312" w:lineRule="atLeast"/>
      <w:textAlignment w:val="baseline"/>
    </w:pPr>
    <w:rPr>
      <w:kern w:val="0"/>
      <w:szCs w:val="20"/>
    </w:rPr>
  </w:style>
  <w:style w:type="paragraph" w:customStyle="1" w:styleId="165">
    <w:name w:val="表格文字5号"/>
    <w:basedOn w:val="4"/>
    <w:qFormat/>
    <w:uiPriority w:val="0"/>
    <w:pPr>
      <w:jc w:val="center"/>
    </w:pPr>
    <w:rPr>
      <w:rFonts w:ascii="Times New Roman" w:hAnsi="Times New Roman"/>
      <w:b/>
      <w:bCs/>
      <w:sz w:val="18"/>
      <w:szCs w:val="15"/>
    </w:rPr>
  </w:style>
  <w:style w:type="paragraph" w:customStyle="1" w:styleId="166">
    <w:name w:val="表芯"/>
    <w:basedOn w:val="1"/>
    <w:next w:val="1"/>
    <w:qFormat/>
    <w:uiPriority w:val="0"/>
    <w:pPr>
      <w:keepNext/>
      <w:adjustRightInd w:val="0"/>
      <w:spacing w:before="20" w:line="0" w:lineRule="atLeast"/>
      <w:jc w:val="center"/>
    </w:pPr>
    <w:rPr>
      <w:kern w:val="21"/>
      <w:szCs w:val="20"/>
    </w:rPr>
  </w:style>
  <w:style w:type="paragraph" w:customStyle="1" w:styleId="167">
    <w:name w:val="表格文字5号 Char Char"/>
    <w:basedOn w:val="4"/>
    <w:qFormat/>
    <w:uiPriority w:val="0"/>
    <w:rPr>
      <w:rFonts w:ascii="Times New Roman" w:hAnsi="Times New Roman"/>
      <w:sz w:val="21"/>
    </w:rPr>
  </w:style>
  <w:style w:type="paragraph" w:customStyle="1" w:styleId="168">
    <w:name w:val="图文"/>
    <w:basedOn w:val="1"/>
    <w:qFormat/>
    <w:uiPriority w:val="0"/>
    <w:pPr>
      <w:overflowPunct w:val="0"/>
      <w:spacing w:line="180" w:lineRule="auto"/>
      <w:jc w:val="center"/>
    </w:pPr>
    <w:rPr>
      <w:rFonts w:ascii="幼圆" w:hAnsi="宋体" w:eastAsia="幼圆"/>
      <w:kern w:val="0"/>
    </w:rPr>
  </w:style>
  <w:style w:type="character" w:customStyle="1" w:styleId="169">
    <w:name w:val="正文文本 2 Char"/>
    <w:basedOn w:val="34"/>
    <w:qFormat/>
    <w:uiPriority w:val="0"/>
    <w:rPr>
      <w:spacing w:val="20"/>
      <w:kern w:val="2"/>
      <w:sz w:val="24"/>
    </w:rPr>
  </w:style>
  <w:style w:type="paragraph" w:customStyle="1" w:styleId="170">
    <w:name w:val="样式 首行缩进:  0.85 厘米"/>
    <w:basedOn w:val="1"/>
    <w:qFormat/>
    <w:uiPriority w:val="0"/>
    <w:pPr>
      <w:spacing w:line="312" w:lineRule="auto"/>
      <w:ind w:firstLine="463"/>
    </w:pPr>
    <w:rPr>
      <w:rFonts w:ascii="宋体" w:hAnsi="宋体"/>
      <w:color w:val="3366FF"/>
      <w:sz w:val="24"/>
      <w:szCs w:val="20"/>
    </w:rPr>
  </w:style>
  <w:style w:type="paragraph" w:customStyle="1" w:styleId="171">
    <w:name w:val="Char11"/>
    <w:basedOn w:val="1"/>
    <w:qFormat/>
    <w:uiPriority w:val="0"/>
    <w:pPr>
      <w:spacing w:line="360" w:lineRule="auto"/>
      <w:ind w:firstLine="200" w:firstLineChars="200"/>
    </w:pPr>
    <w:rPr>
      <w:rFonts w:ascii="宋体" w:hAnsi="宋体" w:cs="宋体"/>
      <w:sz w:val="24"/>
    </w:rPr>
  </w:style>
  <w:style w:type="paragraph" w:customStyle="1" w:styleId="172">
    <w:name w:val="样式2"/>
    <w:basedOn w:val="1"/>
    <w:qFormat/>
    <w:uiPriority w:val="0"/>
    <w:pPr>
      <w:spacing w:line="500" w:lineRule="exact"/>
      <w:ind w:firstLine="561"/>
    </w:pPr>
    <w:rPr>
      <w:sz w:val="28"/>
    </w:rPr>
  </w:style>
  <w:style w:type="character" w:customStyle="1" w:styleId="173">
    <w:name w:val="已访问的超链接1"/>
    <w:basedOn w:val="34"/>
    <w:qFormat/>
    <w:uiPriority w:val="99"/>
    <w:rPr>
      <w:color w:val="800080"/>
      <w:u w:val="single"/>
    </w:rPr>
  </w:style>
  <w:style w:type="paragraph" w:customStyle="1" w:styleId="174">
    <w:name w:val="正文首行缩进1"/>
    <w:basedOn w:val="4"/>
    <w:link w:val="175"/>
    <w:qFormat/>
    <w:uiPriority w:val="0"/>
    <w:pPr>
      <w:spacing w:after="120"/>
      <w:ind w:firstLine="420" w:firstLineChars="100"/>
    </w:pPr>
    <w:rPr>
      <w:rFonts w:ascii="Times New Roman" w:hAnsi="Times New Roman"/>
      <w:sz w:val="21"/>
    </w:rPr>
  </w:style>
  <w:style w:type="character" w:customStyle="1" w:styleId="175">
    <w:name w:val="正文首行缩进 Char"/>
    <w:basedOn w:val="39"/>
    <w:link w:val="174"/>
    <w:qFormat/>
    <w:uiPriority w:val="0"/>
    <w:rPr>
      <w:rFonts w:ascii="宋体" w:hAnsi="宋体"/>
      <w:kern w:val="2"/>
      <w:sz w:val="30"/>
      <w:szCs w:val="24"/>
    </w:rPr>
  </w:style>
  <w:style w:type="paragraph" w:customStyle="1" w:styleId="176">
    <w:name w:val="1"/>
    <w:basedOn w:val="1"/>
    <w:next w:val="21"/>
    <w:qFormat/>
    <w:uiPriority w:val="0"/>
    <w:pPr>
      <w:tabs>
        <w:tab w:val="left" w:pos="0"/>
      </w:tabs>
      <w:spacing w:line="360" w:lineRule="auto"/>
      <w:ind w:firstLine="525"/>
    </w:pPr>
    <w:rPr>
      <w:rFonts w:ascii="幼圆" w:eastAsia="幼圆"/>
      <w:sz w:val="24"/>
      <w:szCs w:val="20"/>
    </w:rPr>
  </w:style>
  <w:style w:type="paragraph" w:customStyle="1" w:styleId="177">
    <w:name w:val="表"/>
    <w:qFormat/>
    <w:uiPriority w:val="0"/>
    <w:pPr>
      <w:adjustRightInd w:val="0"/>
      <w:snapToGrid w:val="0"/>
      <w:spacing w:line="0" w:lineRule="atLeast"/>
      <w:jc w:val="center"/>
    </w:pPr>
    <w:rPr>
      <w:rFonts w:ascii="Times New Roman" w:hAnsi="Times New Roman" w:eastAsia="宋体" w:cs="Times New Roman"/>
      <w:bCs/>
      <w:color w:val="000000"/>
      <w:sz w:val="24"/>
      <w:lang w:val="en-US" w:eastAsia="zh-CN" w:bidi="ar-SA"/>
    </w:rPr>
  </w:style>
  <w:style w:type="paragraph" w:customStyle="1" w:styleId="178">
    <w:name w:val="无编号正文"/>
    <w:basedOn w:val="1"/>
    <w:qFormat/>
    <w:uiPriority w:val="0"/>
    <w:pPr>
      <w:adjustRightInd w:val="0"/>
      <w:snapToGrid w:val="0"/>
      <w:spacing w:afterLines="50" w:line="360" w:lineRule="auto"/>
      <w:ind w:left="300" w:hanging="300" w:hangingChars="300"/>
    </w:pPr>
    <w:rPr>
      <w:rFonts w:eastAsia="仿宋_GB2312"/>
      <w:sz w:val="28"/>
    </w:rPr>
  </w:style>
  <w:style w:type="paragraph" w:customStyle="1" w:styleId="179">
    <w:name w:val="Char Char Char Char Char Char1 Char"/>
    <w:basedOn w:val="1"/>
    <w:qFormat/>
    <w:uiPriority w:val="0"/>
    <w:pPr>
      <w:spacing w:line="360" w:lineRule="auto"/>
      <w:ind w:firstLine="200" w:firstLineChars="200"/>
    </w:pPr>
    <w:rPr>
      <w:rFonts w:ascii="宋体" w:hAnsi="宋体" w:cs="宋体"/>
      <w:sz w:val="24"/>
    </w:rPr>
  </w:style>
  <w:style w:type="paragraph" w:customStyle="1" w:styleId="180">
    <w:name w:val="标题1"/>
    <w:basedOn w:val="2"/>
    <w:qFormat/>
    <w:uiPriority w:val="0"/>
    <w:pPr>
      <w:keepNext w:val="0"/>
      <w:keepLines w:val="0"/>
      <w:numPr>
        <w:ilvl w:val="0"/>
        <w:numId w:val="3"/>
      </w:numPr>
      <w:tabs>
        <w:tab w:val="left" w:pos="1000"/>
        <w:tab w:val="clear" w:pos="6480"/>
      </w:tabs>
      <w:spacing w:before="120" w:line="360" w:lineRule="auto"/>
      <w:textAlignment w:val="auto"/>
    </w:pPr>
    <w:rPr>
      <w:rFonts w:ascii="宋体" w:hAnsi="宋体" w:eastAsia="宋体"/>
      <w:color w:val="FF0000"/>
      <w:sz w:val="24"/>
      <w:lang w:val="en-US"/>
    </w:rPr>
  </w:style>
  <w:style w:type="paragraph" w:customStyle="1" w:styleId="181">
    <w:name w:val="Char1"/>
    <w:basedOn w:val="1"/>
    <w:qFormat/>
    <w:uiPriority w:val="0"/>
    <w:rPr>
      <w:szCs w:val="20"/>
    </w:rPr>
  </w:style>
  <w:style w:type="paragraph" w:customStyle="1" w:styleId="182">
    <w:name w:val="Char Char1 Char Char Char Char Char Char Char Char Char Char"/>
    <w:basedOn w:val="1"/>
    <w:qFormat/>
    <w:uiPriority w:val="0"/>
    <w:rPr>
      <w:rFonts w:ascii="Tahoma" w:hAnsi="Tahoma" w:eastAsia="仿宋_GB2312"/>
      <w:sz w:val="24"/>
      <w:szCs w:val="20"/>
    </w:rPr>
  </w:style>
  <w:style w:type="paragraph" w:customStyle="1" w:styleId="183">
    <w:name w:val="Char Char Char1 Char"/>
    <w:basedOn w:val="1"/>
    <w:qFormat/>
    <w:uiPriority w:val="0"/>
    <w:pPr>
      <w:spacing w:line="360" w:lineRule="auto"/>
      <w:ind w:firstLine="200" w:firstLineChars="200"/>
    </w:pPr>
    <w:rPr>
      <w:rFonts w:ascii="宋体" w:hAnsi="宋体" w:cs="宋体"/>
      <w:sz w:val="24"/>
    </w:rPr>
  </w:style>
  <w:style w:type="paragraph" w:customStyle="1" w:styleId="184">
    <w:name w:val="样式 Arial 小五 自定义颜(RGB(85124)) 首行缩进:  0.85 厘米 段前: 5 磅 段后: 5..."/>
    <w:basedOn w:val="1"/>
    <w:qFormat/>
    <w:uiPriority w:val="0"/>
    <w:pPr>
      <w:spacing w:before="100" w:after="100"/>
      <w:ind w:firstLine="480"/>
    </w:pPr>
    <w:rPr>
      <w:rFonts w:ascii="Arial" w:hAnsi="Arial" w:cs="宋体"/>
      <w:color w:val="550C04"/>
      <w:kern w:val="0"/>
      <w:sz w:val="18"/>
      <w:szCs w:val="20"/>
    </w:rPr>
  </w:style>
  <w:style w:type="paragraph" w:customStyle="1" w:styleId="185">
    <w:name w:val="样式 首行缩进:  0.85 厘米 段前: 5 磅 段后: 5 磅"/>
    <w:basedOn w:val="1"/>
    <w:qFormat/>
    <w:uiPriority w:val="0"/>
    <w:pPr>
      <w:spacing w:before="100" w:after="100"/>
      <w:ind w:firstLine="480"/>
    </w:pPr>
    <w:rPr>
      <w:rFonts w:cs="宋体"/>
      <w:szCs w:val="20"/>
    </w:rPr>
  </w:style>
  <w:style w:type="paragraph" w:customStyle="1" w:styleId="186">
    <w:name w:val="TOC 标题1"/>
    <w:basedOn w:val="2"/>
    <w:next w:val="1"/>
    <w:qFormat/>
    <w:uiPriority w:val="39"/>
    <w:pPr>
      <w:widowControl/>
      <w:tabs>
        <w:tab w:val="clear" w:pos="6480"/>
      </w:tabs>
      <w:adjustRightInd/>
      <w:spacing w:before="480" w:after="0" w:line="276" w:lineRule="auto"/>
      <w:textAlignment w:val="auto"/>
      <w:outlineLvl w:val="9"/>
    </w:pPr>
    <w:rPr>
      <w:rFonts w:ascii="Cambria" w:hAnsi="Cambria" w:eastAsia="宋体"/>
      <w:bCs/>
      <w:color w:val="365F91"/>
      <w:kern w:val="0"/>
      <w:sz w:val="28"/>
      <w:szCs w:val="28"/>
      <w:lang w:val="en-US"/>
    </w:rPr>
  </w:style>
  <w:style w:type="paragraph" w:customStyle="1" w:styleId="187">
    <w:name w:val="目录 11"/>
    <w:basedOn w:val="1"/>
    <w:next w:val="1"/>
    <w:qFormat/>
    <w:uiPriority w:val="39"/>
  </w:style>
  <w:style w:type="paragraph" w:customStyle="1" w:styleId="188">
    <w:name w:val="目录 21"/>
    <w:basedOn w:val="1"/>
    <w:next w:val="1"/>
    <w:qFormat/>
    <w:uiPriority w:val="39"/>
    <w:pPr>
      <w:ind w:left="420" w:leftChars="200"/>
    </w:pPr>
  </w:style>
  <w:style w:type="paragraph" w:customStyle="1" w:styleId="189">
    <w:name w:val="p0"/>
    <w:basedOn w:val="1"/>
    <w:qFormat/>
    <w:uiPriority w:val="0"/>
    <w:pPr>
      <w:widowControl/>
      <w:jc w:val="left"/>
    </w:pPr>
    <w:rPr>
      <w:kern w:val="0"/>
      <w:sz w:val="20"/>
      <w:szCs w:val="20"/>
    </w:rPr>
  </w:style>
  <w:style w:type="paragraph" w:customStyle="1" w:styleId="190">
    <w:name w:val="目录 31"/>
    <w:basedOn w:val="1"/>
    <w:next w:val="1"/>
    <w:qFormat/>
    <w:uiPriority w:val="0"/>
    <w:pPr>
      <w:ind w:left="840" w:leftChars="400"/>
    </w:pPr>
  </w:style>
  <w:style w:type="paragraph" w:customStyle="1" w:styleId="191">
    <w:name w:val="参考文献"/>
    <w:basedOn w:val="1"/>
    <w:qFormat/>
    <w:uiPriority w:val="0"/>
    <w:pPr>
      <w:numPr>
        <w:ilvl w:val="0"/>
        <w:numId w:val="4"/>
      </w:numPr>
      <w:overflowPunct w:val="0"/>
      <w:autoSpaceDN w:val="0"/>
      <w:adjustRightInd w:val="0"/>
      <w:snapToGrid w:val="0"/>
      <w:spacing w:line="288" w:lineRule="auto"/>
      <w:ind w:firstLine="0"/>
    </w:pPr>
    <w:rPr>
      <w:rFonts w:ascii="宋体" w:cs="Courier New"/>
      <w:snapToGrid w:val="0"/>
      <w:kern w:val="0"/>
    </w:rPr>
  </w:style>
  <w:style w:type="character" w:customStyle="1" w:styleId="192">
    <w:name w:val="题注 字符"/>
    <w:link w:val="14"/>
    <w:qFormat/>
    <w:uiPriority w:val="0"/>
    <w:rPr>
      <w:rFonts w:ascii="Calibri Light" w:hAnsi="Calibri Light"/>
      <w:b/>
      <w:kern w:val="2"/>
      <w:sz w:val="21"/>
    </w:rPr>
  </w:style>
  <w:style w:type="paragraph" w:customStyle="1" w:styleId="193">
    <w:name w:val="居中表格"/>
    <w:basedOn w:val="1"/>
    <w:qFormat/>
    <w:uiPriority w:val="0"/>
    <w:pPr>
      <w:widowControl/>
      <w:spacing w:line="240" w:lineRule="atLeast"/>
      <w:jc w:val="center"/>
    </w:pPr>
    <w:rPr>
      <w:rFonts w:ascii="宋体" w:hAnsi="宋体" w:cs="宋体"/>
      <w:kern w:val="0"/>
      <w:sz w:val="24"/>
    </w:rPr>
  </w:style>
  <w:style w:type="paragraph" w:styleId="194">
    <w:name w:val="List Paragraph"/>
    <w:basedOn w:val="1"/>
    <w:qFormat/>
    <w:uiPriority w:val="99"/>
    <w:pPr>
      <w:ind w:firstLine="420" w:firstLineChars="200"/>
    </w:pPr>
  </w:style>
  <w:style w:type="paragraph" w:customStyle="1" w:styleId="195">
    <w:name w:val="11111"/>
    <w:basedOn w:val="1"/>
    <w:next w:val="1"/>
    <w:qFormat/>
    <w:uiPriority w:val="0"/>
    <w:pPr>
      <w:spacing w:line="480" w:lineRule="exact"/>
      <w:ind w:firstLine="200" w:firstLineChars="200"/>
      <w:jc w:val="left"/>
    </w:pPr>
    <w:rPr>
      <w:rFonts w:ascii="宋体" w:hAnsi="宋体"/>
      <w:sz w:val="28"/>
    </w:rPr>
  </w:style>
  <w:style w:type="paragraph" w:customStyle="1" w:styleId="196">
    <w:name w:val="TOC Heading"/>
    <w:basedOn w:val="2"/>
    <w:next w:val="1"/>
    <w:semiHidden/>
    <w:unhideWhenUsed/>
    <w:qFormat/>
    <w:uiPriority w:val="39"/>
    <w:pPr>
      <w:tabs>
        <w:tab w:val="clear" w:pos="6480"/>
      </w:tabs>
      <w:adjustRightInd/>
      <w:spacing w:before="340" w:after="330" w:line="578" w:lineRule="auto"/>
      <w:jc w:val="both"/>
      <w:textAlignment w:val="auto"/>
      <w:outlineLvl w:val="9"/>
    </w:pPr>
    <w:rPr>
      <w:rFonts w:ascii="Times New Roman" w:eastAsia="宋体"/>
      <w:bCs/>
      <w:sz w:val="44"/>
      <w:szCs w:val="44"/>
      <w:lang w:val="en-US"/>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75612C42-A5A1-42AD-BF4D-7A04E24B1B97}">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7</Pages>
  <Words>5831</Words>
  <Characters>6354</Characters>
  <Lines>45</Lines>
  <Paragraphs>12</Paragraphs>
  <TotalTime>5</TotalTime>
  <ScaleCrop>false</ScaleCrop>
  <LinksUpToDate>false</LinksUpToDate>
  <CharactersWithSpaces>6379</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2025-03-14T01:32:00Z</dcterms:created>
  <dc:creator>Administrator</dc:creator>
  <cp:lastModifiedBy>萍萍</cp:lastModifiedBy>
  <cp:lastPrinted>2025-03-18T07:30:00Z</cp:lastPrinted>
  <dcterms:modified xsi:type="dcterms:W3CDTF">2026-05-27T00:35:46Z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TemplateDocerSaveRecord">
    <vt:lpwstr>eyJoZGlkIjoiYzBiYjQwZTFiN2YwOTY4ZDgzZjI1YjE3NGNhMDQwM2MiLCJ1c2VySWQiOiIzNTkwMTQyNzAifQ==</vt:lpwstr>
  </property>
  <property fmtid="{D5CDD505-2E9C-101B-9397-08002B2CF9AE}" pid="4" name="ICV">
    <vt:lpwstr>7707E7D4927044429D7979F488EB1A4B_12</vt:lpwstr>
  </property>
</Properties>
</file>